
<file path=[Content_Types].xml><?xml version="1.0" encoding="utf-8"?>
<Types xmlns="http://schemas.openxmlformats.org/package/2006/content-types">
  <Default Extension="xml" ContentType="application/xml"/>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5" Type="http://schemas.openxmlformats.org/officeDocument/2006/relationships/officeDocument" Target="word/document.xml"/><Relationship Id="rId1" Type="http://schemas.openxmlformats.org/package/2006/relationships/metadata/thumbnail" Target="docProps/thumbnail.wmf"/><Relationship Id="rId3" Type="http://schemas.openxmlformats.org/package/2006/relationships/metadata/core-properties" Target="docProps/core.xml"/><Relationship Id="rId2"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430636D">
      <w:pPr>
        <w:shd w:val="clear" w:color="auto" w:fill="002B49"/>
        <w:spacing w:before="0" w:after="0"/>
      </w:pPr>
      <w:r>
        <w:rPr>
          <w:sz w:val="20"/>
        </w:rPr>
        <w:t xml:space="preserve"> </w:t>
      </w:r>
    </w:p>
    <w:p w14:paraId="18AD1B72">
      <w:pPr>
        <w:spacing w:before="2400"/>
        <w:jc w:val="center"/>
      </w:pPr>
      <w:r>
        <w:rPr>
          <w:rFonts w:ascii="Calibri" w:hAnsi="Calibri"/>
          <w:b/>
          <w:color w:val="002B49"/>
          <w:sz w:val="60"/>
        </w:rPr>
        <w:t>SETTLEMENT PROCESSES</w:t>
      </w:r>
      <w:r>
        <w:rPr>
          <w:rFonts w:ascii="Calibri" w:hAnsi="Calibri"/>
          <w:b/>
          <w:color w:val="002B49"/>
          <w:sz w:val="60"/>
        </w:rPr>
        <w:br w:type="textWrapping"/>
      </w:r>
      <w:r>
        <w:rPr>
          <w:rFonts w:ascii="Calibri" w:hAnsi="Calibri"/>
          <w:b/>
          <w:color w:val="002B49"/>
          <w:sz w:val="60"/>
        </w:rPr>
        <w:t>AND SERVICES GUIDE</w:t>
      </w:r>
    </w:p>
    <w:p w14:paraId="0F7D1D85">
      <w:pPr>
        <w:jc w:val="center"/>
      </w:pPr>
      <w:r>
        <w:rPr>
          <w:b/>
          <w:color w:val="0066CC"/>
          <w:sz w:val="44"/>
        </w:rPr>
        <w:t>BRISBANE SOUTH EAST REGION</w:t>
      </w:r>
    </w:p>
    <w:p w14:paraId="2758B08A">
      <w:pPr>
        <w:jc w:val="center"/>
      </w:pPr>
      <w:r>
        <w:rPr>
          <w:i/>
          <w:color w:val="595959"/>
          <w:sz w:val="24"/>
        </w:rPr>
        <w:t>A Guide to Settlement and Employment Services in the Brisbane South East Employment Region, Queensland</w:t>
      </w:r>
    </w:p>
    <w:p w14:paraId="1DD09667">
      <w:pPr>
        <w:shd w:val="clear" w:color="auto" w:fill="3CB371"/>
        <w:spacing w:before="480"/>
      </w:pPr>
      <w:r>
        <w:rPr>
          <w:sz w:val="12"/>
        </w:rPr>
        <w:t xml:space="preserve"> </w:t>
      </w:r>
    </w:p>
    <w:p w14:paraId="6B59AF47">
      <w:pPr>
        <w:spacing w:before="1800"/>
        <w:jc w:val="center"/>
      </w:pPr>
    </w:p>
    <w:p w14:paraId="7F09DA98">
      <w:pPr>
        <w:jc w:val="center"/>
      </w:pPr>
      <w:r>
        <w:rPr>
          <w:sz w:val="22"/>
        </w:rPr>
        <w:t>Prepared by: Brisbane South East Settlement Leading Partners Network</w:t>
      </w:r>
    </w:p>
    <w:p w14:paraId="06988ECF">
      <w:pPr>
        <w:jc w:val="center"/>
      </w:pPr>
      <w:r>
        <w:rPr>
          <w:sz w:val="22"/>
        </w:rPr>
        <w:t>Draft Edition — for stakeholder review and verification</w:t>
      </w:r>
    </w:p>
    <w:p w14:paraId="2AAF01FE">
      <w:pPr>
        <w:jc w:val="center"/>
      </w:pPr>
      <w:r>
        <w:rPr>
          <w:sz w:val="22"/>
        </w:rPr>
        <w:t>Version 1.0 (Draft)  |  Published: [date to be confirmed]  |  Effective from: [date to be confirmed]</w:t>
      </w:r>
    </w:p>
    <w:p w14:paraId="0F6292CF">
      <w:pPr>
        <w:jc w:val="center"/>
      </w:pPr>
      <w:r>
        <w:rPr>
          <w:i/>
          <w:color w:val="595959"/>
          <w:sz w:val="19"/>
        </w:rPr>
        <w:t>Responsible network details require confirmation before final publication.</w:t>
      </w:r>
    </w:p>
    <w:p w14:paraId="1C44C908">
      <w:r>
        <w:br w:type="page"/>
      </w:r>
    </w:p>
    <w:p w14:paraId="7F8B4299">
      <w:pPr>
        <w:pStyle w:val="2"/>
      </w:pPr>
      <w:r>
        <w:rPr>
          <w:color w:val="002B49"/>
        </w:rPr>
        <w:t>Contents</w:t>
      </w:r>
    </w:p>
    <w:p w14:paraId="43E0C3B3">
      <w:r>
        <w:fldChar w:fldCharType="begin"/>
      </w:r>
      <w:r>
        <w:instrText xml:space="preserve">TOC \o "1-3" \h \z \u</w:instrText>
      </w:r>
      <w:r>
        <w:fldChar w:fldCharType="separate"/>
      </w:r>
      <w:r>
        <w:t>Right-click and select 'Update Field' to generate the Table of Contents.</w:t>
      </w:r>
      <w:r>
        <w:fldChar w:fldCharType="end"/>
      </w:r>
    </w:p>
    <w:p w14:paraId="10B809CC">
      <w:pPr>
        <w:spacing w:before="0" w:after="120"/>
      </w:pPr>
      <w:r>
        <w:rPr>
          <w:b w:val="0"/>
          <w:i/>
          <w:color w:val="595959"/>
          <w:sz w:val="18"/>
        </w:rPr>
        <w:t>In Microsoft Word, right-click the table of contents and select 'Update Field' to refresh page numbers after editing.</w:t>
      </w:r>
    </w:p>
    <w:p w14:paraId="38A5907E">
      <w:r>
        <w:br w:type="page"/>
      </w:r>
    </w:p>
    <w:p w14:paraId="222F1A58">
      <w:pPr>
        <w:spacing w:before="0" w:after="200"/>
        <w:jc w:val="center"/>
      </w:pPr>
      <w:r>
        <w:rPr>
          <w:b/>
          <w:i w:val="0"/>
          <w:color w:val="002B49"/>
          <w:sz w:val="40"/>
        </w:rPr>
        <w:t>Settlement Processes and Services Guide</w:t>
      </w:r>
    </w:p>
    <w:p w14:paraId="6BE92F8A">
      <w:pPr>
        <w:spacing w:before="0" w:after="200"/>
        <w:jc w:val="center"/>
      </w:pPr>
      <w:r>
        <w:rPr>
          <w:b/>
          <w:i w:val="0"/>
          <w:color w:val="002B49"/>
          <w:sz w:val="28"/>
        </w:rPr>
        <w:t>Brisbane South East Region</w:t>
      </w:r>
    </w:p>
    <w:p w14:paraId="2931AF9E">
      <w:pPr>
        <w:spacing w:before="0" w:after="200"/>
        <w:jc w:val="center"/>
      </w:pPr>
      <w:r>
        <w:rPr>
          <w:b w:val="0"/>
          <w:i w:val="0"/>
          <w:sz w:val="23"/>
        </w:rPr>
        <w:t>A Guide to Settlement and Employment Services in the Brisbane South East Employment Region, Queensland</w:t>
      </w:r>
    </w:p>
    <w:p w14:paraId="4FA19336">
      <w:pPr>
        <w:spacing w:before="0" w:after="200"/>
        <w:jc w:val="center"/>
      </w:pPr>
      <w:r>
        <w:rPr>
          <w:b w:val="0"/>
          <w:i w:val="0"/>
          <w:sz w:val="23"/>
        </w:rPr>
        <w:t>Prepared by: Brisbane South East Settlement Leading Partners Network</w:t>
      </w:r>
    </w:p>
    <w:p w14:paraId="5F1C5E28">
      <w:pPr>
        <w:spacing w:before="0" w:after="200"/>
        <w:jc w:val="center"/>
      </w:pPr>
      <w:r>
        <w:rPr>
          <w:b w:val="0"/>
          <w:i w:val="0"/>
          <w:sz w:val="23"/>
        </w:rPr>
        <w:t>Draft Edition — for stakeholder review and verification</w:t>
      </w:r>
    </w:p>
    <w:p w14:paraId="4466F158">
      <w:pPr>
        <w:spacing w:before="0" w:after="200"/>
        <w:jc w:val="center"/>
      </w:pPr>
      <w:r>
        <w:rPr>
          <w:b w:val="0"/>
          <w:i w:val="0"/>
          <w:sz w:val="23"/>
        </w:rPr>
        <w:t>Version 1.0 (Draft)   |   Published: [date to be confirmed]   |   Effective from: [date to be confirmed]</w:t>
      </w:r>
    </w:p>
    <w:p w14:paraId="4EB1487F">
      <w:pPr>
        <w:shd w:val="clear" w:color="auto" w:fill="F2F2F2"/>
        <w:spacing w:before="0" w:after="160"/>
      </w:pPr>
      <w:r>
        <w:rPr>
          <w:b w:val="0"/>
          <w:i/>
          <w:color w:val="595959"/>
          <w:sz w:val="19"/>
        </w:rPr>
        <w:t>[Note] Responsible network details require confirmation before final publication.</w:t>
      </w:r>
    </w:p>
    <w:p w14:paraId="3D80742A"/>
    <w:p w14:paraId="2A6F9FBF">
      <w:pPr>
        <w:pStyle w:val="2"/>
      </w:pPr>
      <w:r>
        <w:rPr>
          <w:color w:val="002B49"/>
        </w:rPr>
        <w:t>Source and Verification Note</w:t>
      </w:r>
    </w:p>
    <w:p w14:paraId="5A26FAD8">
      <w:pPr>
        <w:spacing w:before="0" w:after="120"/>
      </w:pPr>
      <w:r>
        <w:rPr>
          <w:b w:val="0"/>
          <w:i w:val="0"/>
          <w:sz w:val="21"/>
        </w:rPr>
        <w:t>This guide has been developed using available government, community-sector, regional employment and settlement information, together with local environmental scan research. Provider information may change over time. Users should confirm current eligibility, service availability, locations and contact details directly with the relevant provider before making a referral.</w:t>
      </w:r>
    </w:p>
    <w:p w14:paraId="2A55DE0B">
      <w:pPr>
        <w:spacing w:before="0" w:after="120"/>
      </w:pPr>
      <w:r>
        <w:rPr>
          <w:b w:val="0"/>
          <w:i w:val="0"/>
          <w:sz w:val="21"/>
        </w:rPr>
        <w:t>The guide draws on the following sources, among others:</w:t>
      </w:r>
    </w:p>
    <w:p w14:paraId="5BC243B0">
      <w:pPr>
        <w:pStyle w:val="23"/>
        <w:spacing w:before="0" w:after="40"/>
      </w:pPr>
      <w:r>
        <w:rPr>
          <w:b w:val="0"/>
          <w:i w:val="0"/>
          <w:sz w:val="21"/>
        </w:rPr>
        <w:t>The national Settlement Processes and Services Guide template (the structural framework for this document).</w:t>
      </w:r>
    </w:p>
    <w:p w14:paraId="4EDCCC54">
      <w:pPr>
        <w:pStyle w:val="23"/>
        <w:spacing w:before="0" w:after="40"/>
      </w:pPr>
      <w:r>
        <w:rPr>
          <w:b w:val="0"/>
          <w:i w:val="0"/>
          <w:sz w:val="21"/>
        </w:rPr>
        <w:t>The Department of Home Affairs' official program information for the Humanitarian Settlement Program (HSP), Settlement Engagement and Transition Support (SETS), the Adult Migrant English Program (AMEP), the Economic Pathways to Refugee Integration (EPRI) program and Youth Transition Support Services (YTS).</w:t>
      </w:r>
    </w:p>
    <w:p w14:paraId="60152947">
      <w:pPr>
        <w:pStyle w:val="23"/>
        <w:spacing w:before="0" w:after="40"/>
      </w:pPr>
      <w:r>
        <w:rPr>
          <w:b w:val="0"/>
          <w:i w:val="0"/>
          <w:sz w:val="21"/>
        </w:rPr>
        <w:t>Department of Employment and Workplace Relations (DEWR) official information for Workforce Australia, Skills for Education and Employment (SEE) and related programs.</w:t>
      </w:r>
    </w:p>
    <w:p w14:paraId="2E330C2A">
      <w:pPr>
        <w:pStyle w:val="23"/>
        <w:spacing w:before="0" w:after="40"/>
      </w:pPr>
      <w:r>
        <w:rPr>
          <w:b w:val="0"/>
          <w:i w:val="0"/>
          <w:sz w:val="21"/>
        </w:rPr>
        <w:t>Services Australia official information, including the Multicultural Service Officers program.</w:t>
      </w:r>
    </w:p>
    <w:p w14:paraId="2BA2D294">
      <w:pPr>
        <w:pStyle w:val="23"/>
        <w:spacing w:before="0" w:after="40"/>
      </w:pPr>
      <w:r>
        <w:rPr>
          <w:b w:val="0"/>
          <w:i w:val="0"/>
          <w:sz w:val="21"/>
        </w:rPr>
        <w:t>The Brisbane South East Local Jobs Plan (July 2025).</w:t>
      </w:r>
    </w:p>
    <w:p w14:paraId="47575BE1">
      <w:pPr>
        <w:pStyle w:val="23"/>
        <w:spacing w:before="0" w:after="40"/>
      </w:pPr>
      <w:r>
        <w:rPr>
          <w:b w:val="0"/>
          <w:i w:val="0"/>
          <w:sz w:val="21"/>
        </w:rPr>
        <w:t>Brisbane South East settlement environmental scan research (provider spreadsheets and directories).</w:t>
      </w:r>
    </w:p>
    <w:p w14:paraId="37FC13F5">
      <w:pPr>
        <w:pStyle w:val="23"/>
        <w:spacing w:before="0" w:after="40"/>
      </w:pPr>
      <w:r>
        <w:rPr>
          <w:b w:val="0"/>
          <w:i w:val="0"/>
          <w:sz w:val="21"/>
        </w:rPr>
        <w:t>The Multicultural Employment Action Group (MEAG) draft membership EOI (9 May 2024), used for historical and stakeholder context only.</w:t>
      </w:r>
    </w:p>
    <w:p w14:paraId="4A0850BA">
      <w:pPr>
        <w:spacing w:before="0" w:after="120"/>
      </w:pPr>
      <w:r>
        <w:rPr>
          <w:b w:val="0"/>
          <w:i w:val="0"/>
          <w:sz w:val="21"/>
        </w:rPr>
        <w:t>Verification status is indicated throughout. Statuses used are:</w:t>
      </w:r>
    </w:p>
    <w:tbl>
      <w:tblPr>
        <w:tblStyle w:val="35"/>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0" w:type="dxa"/>
          <w:left w:w="80" w:type="dxa"/>
          <w:bottom w:w="40" w:type="dxa"/>
          <w:right w:w="80" w:type="dxa"/>
        </w:tblCellMar>
      </w:tblPr>
      <w:tblGrid>
        <w:gridCol w:w="4819"/>
        <w:gridCol w:w="4819"/>
      </w:tblGrid>
      <w:tr w14:paraId="0136A8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40" w:type="dxa"/>
            <w:left w:w="80" w:type="dxa"/>
            <w:bottom w:w="40" w:type="dxa"/>
            <w:right w:w="80" w:type="dxa"/>
          </w:tblCellMar>
        </w:tblPrEx>
        <w:trPr>
          <w:tblHeader/>
          <w:jc w:val="center"/>
        </w:trPr>
        <w:tc>
          <w:tcPr>
            <w:tcW w:w="2551" w:type="dxa"/>
            <w:shd w:val="clear" w:color="auto" w:fill="002B49"/>
          </w:tcPr>
          <w:p w14:paraId="49ABE3B2">
            <w:pPr>
              <w:spacing w:before="40" w:after="40" w:line="240" w:lineRule="auto"/>
            </w:pPr>
            <w:r>
              <w:rPr>
                <w:b/>
                <w:color w:val="FFFFFF"/>
                <w:sz w:val="19"/>
              </w:rPr>
              <w:t>Status</w:t>
            </w:r>
          </w:p>
        </w:tc>
        <w:tc>
          <w:tcPr>
            <w:tcW w:w="6803" w:type="dxa"/>
            <w:shd w:val="clear" w:color="auto" w:fill="002B49"/>
          </w:tcPr>
          <w:p w14:paraId="1C97C508">
            <w:pPr>
              <w:spacing w:before="40" w:after="40" w:line="240" w:lineRule="auto"/>
            </w:pPr>
            <w:r>
              <w:rPr>
                <w:b/>
                <w:color w:val="FFFFFF"/>
                <w:sz w:val="19"/>
              </w:rPr>
              <w:t>Meaning</w:t>
            </w:r>
          </w:p>
        </w:tc>
      </w:tr>
      <w:tr w14:paraId="04B972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40" w:type="dxa"/>
            <w:left w:w="80" w:type="dxa"/>
            <w:bottom w:w="40" w:type="dxa"/>
            <w:right w:w="80" w:type="dxa"/>
          </w:tblCellMar>
        </w:tblPrEx>
        <w:trPr>
          <w:jc w:val="center"/>
        </w:trPr>
        <w:tc>
          <w:tcPr>
            <w:tcW w:w="2551" w:type="dxa"/>
            <w:shd w:val="clear" w:color="auto" w:fill="F5F9FC"/>
          </w:tcPr>
          <w:p w14:paraId="2B323352">
            <w:pPr>
              <w:spacing w:before="40" w:after="40" w:line="240" w:lineRule="auto"/>
              <w:rPr>
                <w:rFonts w:hint="default"/>
                <w:lang w:val="en-US"/>
              </w:rPr>
            </w:pPr>
            <w:r>
              <w:rPr>
                <w:rFonts w:hint="default"/>
                <w:sz w:val="19"/>
                <w:lang w:val="en-US"/>
              </w:rPr>
              <w:t>Verified</w:t>
            </w:r>
          </w:p>
        </w:tc>
        <w:tc>
          <w:tcPr>
            <w:tcW w:w="6803" w:type="dxa"/>
          </w:tcPr>
          <w:p w14:paraId="7373CB57">
            <w:pPr>
              <w:spacing w:before="40" w:after="40" w:line="240" w:lineRule="auto"/>
            </w:pPr>
            <w:r>
              <w:rPr>
                <w:sz w:val="19"/>
              </w:rPr>
              <w:t>Information confirmed against an official source (for example, a government website or provider's current official service page).</w:t>
            </w:r>
          </w:p>
        </w:tc>
      </w:tr>
      <w:tr w14:paraId="78BAE8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40" w:type="dxa"/>
            <w:left w:w="80" w:type="dxa"/>
            <w:bottom w:w="40" w:type="dxa"/>
            <w:right w:w="80" w:type="dxa"/>
          </w:tblCellMar>
        </w:tblPrEx>
        <w:trPr>
          <w:jc w:val="center"/>
        </w:trPr>
        <w:tc>
          <w:tcPr>
            <w:tcW w:w="2551" w:type="dxa"/>
            <w:shd w:val="clear" w:color="auto" w:fill="F5F9FC"/>
          </w:tcPr>
          <w:p w14:paraId="7056E049">
            <w:pPr>
              <w:spacing w:before="40" w:after="40" w:line="240" w:lineRule="auto"/>
            </w:pPr>
            <w:r>
              <w:rPr>
                <w:sz w:val="19"/>
              </w:rPr>
              <w:t>REQUIRES VERIFICATION</w:t>
            </w:r>
          </w:p>
        </w:tc>
        <w:tc>
          <w:tcPr>
            <w:tcW w:w="6803" w:type="dxa"/>
          </w:tcPr>
          <w:p w14:paraId="7062162A">
            <w:pPr>
              <w:spacing w:before="40" w:after="40" w:line="240" w:lineRule="auto"/>
            </w:pPr>
            <w:r>
              <w:rPr>
                <w:sz w:val="19"/>
              </w:rPr>
              <w:t>Information found in environmental scan research or an unconfirmed source; confirm with the provider before publication or referral.</w:t>
            </w:r>
          </w:p>
        </w:tc>
      </w:tr>
      <w:tr w14:paraId="0D83C5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40" w:type="dxa"/>
            <w:left w:w="80" w:type="dxa"/>
            <w:bottom w:w="40" w:type="dxa"/>
            <w:right w:w="80" w:type="dxa"/>
          </w:tblCellMar>
        </w:tblPrEx>
        <w:trPr>
          <w:jc w:val="center"/>
        </w:trPr>
        <w:tc>
          <w:tcPr>
            <w:tcW w:w="2551" w:type="dxa"/>
            <w:shd w:val="clear" w:color="auto" w:fill="F5F9FC"/>
          </w:tcPr>
          <w:p w14:paraId="3AE80C2C">
            <w:pPr>
              <w:spacing w:before="40" w:after="40" w:line="240" w:lineRule="auto"/>
            </w:pPr>
            <w:r>
              <w:rPr>
                <w:sz w:val="19"/>
              </w:rPr>
              <w:t>INFORMATION INCOMPLETE</w:t>
            </w:r>
          </w:p>
        </w:tc>
        <w:tc>
          <w:tcPr>
            <w:tcW w:w="6803" w:type="dxa"/>
          </w:tcPr>
          <w:p w14:paraId="75E2C1A8">
            <w:pPr>
              <w:spacing w:before="40" w:after="40" w:line="240" w:lineRule="auto"/>
            </w:pPr>
            <w:r>
              <w:rPr>
                <w:sz w:val="19"/>
              </w:rPr>
              <w:t>Some fields are missing from the available source material.</w:t>
            </w:r>
          </w:p>
        </w:tc>
      </w:tr>
      <w:tr w14:paraId="50EB12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40" w:type="dxa"/>
            <w:left w:w="80" w:type="dxa"/>
            <w:bottom w:w="40" w:type="dxa"/>
            <w:right w:w="80" w:type="dxa"/>
          </w:tblCellMar>
        </w:tblPrEx>
        <w:trPr>
          <w:jc w:val="center"/>
        </w:trPr>
        <w:tc>
          <w:tcPr>
            <w:tcW w:w="2551" w:type="dxa"/>
            <w:shd w:val="clear" w:color="auto" w:fill="F5F9FC"/>
          </w:tcPr>
          <w:p w14:paraId="12834C20">
            <w:pPr>
              <w:spacing w:before="40" w:after="40" w:line="240" w:lineRule="auto"/>
            </w:pPr>
            <w:r>
              <w:rPr>
                <w:sz w:val="19"/>
              </w:rPr>
              <w:t>HISTORICAL / DRAFT</w:t>
            </w:r>
          </w:p>
        </w:tc>
        <w:tc>
          <w:tcPr>
            <w:tcW w:w="6803" w:type="dxa"/>
          </w:tcPr>
          <w:p w14:paraId="189DF9F1">
            <w:pPr>
              <w:spacing w:before="40" w:after="40" w:line="240" w:lineRule="auto"/>
            </w:pPr>
            <w:r>
              <w:rPr>
                <w:sz w:val="19"/>
              </w:rPr>
              <w:t>Information reflects a draft or dated document and should not be presented as current.</w:t>
            </w:r>
          </w:p>
        </w:tc>
      </w:tr>
    </w:tbl>
    <w:p w14:paraId="4A6C6031">
      <w:pPr>
        <w:spacing w:before="0" w:after="120"/>
      </w:pPr>
      <w:r>
        <w:rPr>
          <w:b w:val="0"/>
          <w:i w:val="0"/>
          <w:sz w:val="21"/>
        </w:rPr>
        <w:t>Where information could not be confirmed from the supplied sources, the text states: 'Verification required before final publication.' Where a statistic or detail is not supported by the supplied sources, the guide states that the information requires verification rather than presenting it as fact.</w:t>
      </w:r>
    </w:p>
    <w:p w14:paraId="4F7A948D">
      <w:r>
        <w:br w:type="page"/>
      </w:r>
    </w:p>
    <w:p w14:paraId="75C7F8E9">
      <w:pPr>
        <w:pStyle w:val="2"/>
      </w:pPr>
      <w:r>
        <w:rPr>
          <w:color w:val="002B49"/>
        </w:rPr>
        <w:t>Settlement Leading Partners Network</w:t>
      </w:r>
    </w:p>
    <w:p w14:paraId="0D788808">
      <w:pPr>
        <w:spacing w:before="0" w:after="120"/>
      </w:pPr>
      <w:r>
        <w:rPr>
          <w:b w:val="0"/>
          <w:i w:val="0"/>
          <w:sz w:val="21"/>
        </w:rPr>
        <w:t>The Brisbane South East Settlement Leading Partners Network brings together organisations that support migrants and new arrivals across the Brisbane South East region. The network was formed to improve service delivery and foster collaboration among the agencies that assist the migrant community throughout the settlement journey.</w:t>
      </w:r>
    </w:p>
    <w:p w14:paraId="0A8BDD24">
      <w:pPr>
        <w:spacing w:before="0" w:after="120"/>
      </w:pPr>
      <w:r>
        <w:rPr>
          <w:b w:val="0"/>
          <w:i w:val="0"/>
          <w:sz w:val="21"/>
        </w:rPr>
        <w:t>Members include experienced professionals from settlement services, multicultural organisations, government agencies, employment services and community organisations. Their collective expertise has shaped a comprehensive understanding of each organisation's role in assisting migrants, and how these entities can work together more effectively.</w:t>
      </w:r>
    </w:p>
    <w:p w14:paraId="534F6821">
      <w:pPr>
        <w:spacing w:before="0" w:after="120"/>
      </w:pPr>
      <w:r>
        <w:rPr>
          <w:b w:val="0"/>
          <w:i w:val="0"/>
          <w:sz w:val="21"/>
        </w:rPr>
        <w:t>This guide has been developed from shared insights, research and consultation. It is designed for service providers who support people from Culturally and Linguistically Diverse (CALD) backgrounds during their transition into Australian life in the Brisbane South East region. It details the types of services offered, how they operate, and strategies for meeting the individual needs of each person, while emphasising the importance of inter-agency cooperation.</w:t>
      </w:r>
    </w:p>
    <w:p w14:paraId="28FAA7EB">
      <w:pPr>
        <w:spacing w:before="0" w:after="120"/>
      </w:pPr>
      <w:r>
        <w:rPr>
          <w:b w:val="0"/>
          <w:i w:val="0"/>
          <w:sz w:val="21"/>
        </w:rPr>
        <w:t>Please note: the information in this guide relates to government-contracted services, which may change due to contractual obligations and requirements. This guide is intended as a resource and is not a definitive legal document. For detailed information about government requirements for each service, refer to the official websites listed in this guide or contact the relevant service provider directly.</w:t>
      </w:r>
    </w:p>
    <w:p w14:paraId="504D9431">
      <w:pPr>
        <w:shd w:val="clear" w:color="auto" w:fill="F2F2F2"/>
        <w:spacing w:before="0" w:after="160"/>
      </w:pPr>
      <w:r>
        <w:rPr>
          <w:b w:val="0"/>
          <w:i/>
          <w:color w:val="595959"/>
          <w:sz w:val="19"/>
        </w:rPr>
        <w:t>[Note] Responsible network details require confirmation before final publication.</w:t>
      </w:r>
    </w:p>
    <w:p w14:paraId="44CCA306">
      <w:pPr>
        <w:spacing w:before="0" w:after="120"/>
      </w:pPr>
      <w:r>
        <w:rPr>
          <w:b w:val="0"/>
          <w:i w:val="0"/>
          <w:sz w:val="21"/>
        </w:rPr>
        <w:t>Warm regards,</w:t>
      </w:r>
    </w:p>
    <w:p w14:paraId="2A894F12">
      <w:pPr>
        <w:spacing w:before="0" w:after="120"/>
      </w:pPr>
      <w:r>
        <w:rPr>
          <w:b w:val="0"/>
          <w:i w:val="0"/>
          <w:sz w:val="21"/>
        </w:rPr>
        <w:t>Brisbane South East Settlement Leading Partners Network</w:t>
      </w:r>
    </w:p>
    <w:p w14:paraId="1A233E50">
      <w:r>
        <w:br w:type="page"/>
      </w:r>
    </w:p>
    <w:p w14:paraId="78A14DD6">
      <w:pPr>
        <w:pStyle w:val="2"/>
      </w:pPr>
      <w:r>
        <w:rPr>
          <w:color w:val="002B49"/>
        </w:rPr>
        <w:t>Network or Group Name Responsible for this Region</w:t>
      </w:r>
    </w:p>
    <w:p w14:paraId="765CDF8D">
      <w:pPr>
        <w:spacing w:before="0" w:after="120"/>
      </w:pPr>
      <w:r>
        <w:rPr>
          <w:b w:val="0"/>
          <w:i w:val="0"/>
          <w:sz w:val="21"/>
        </w:rPr>
        <w:t>Brisbane South East Settlement Leading Partners Network</w:t>
      </w:r>
    </w:p>
    <w:p w14:paraId="35A6C0BC">
      <w:pPr>
        <w:spacing w:before="0" w:after="120"/>
      </w:pPr>
      <w:r>
        <w:rPr>
          <w:b w:val="0"/>
          <w:i w:val="0"/>
          <w:sz w:val="21"/>
        </w:rPr>
        <w:t>The network brings together settlement providers, multicultural community organisations, employment services, government agencies (including Services Australia Multicultural Service Officers) and other stakeholders that support migrants and new arrivals in the Brisbane South East region. Its purpose is to improve coordination, reduce duplication, and strengthen referral pathways across the settlement service system.</w:t>
      </w:r>
    </w:p>
    <w:p w14:paraId="79FFCD5B">
      <w:pPr>
        <w:spacing w:before="0" w:after="120"/>
      </w:pPr>
      <w:r>
        <w:rPr>
          <w:b w:val="0"/>
          <w:i w:val="0"/>
          <w:sz w:val="21"/>
        </w:rPr>
        <w:t>The Multicultural Employment Action Group (MEAG) is an important stakeholder in this work. MEAG was formed as a sub-group of the Brisbane South East Local Jobs Program Taskforce with a specific focus on employment and retention for multicultural people living in the Brisbane South East Employment Region. MEAG is not the overall owner of this settlement guide; it is a stakeholder relevant to multicultural employment and workforce collaboration (see Section 13).</w:t>
      </w:r>
    </w:p>
    <w:p w14:paraId="75472728">
      <w:pPr>
        <w:shd w:val="clear" w:color="auto" w:fill="F2F2F2"/>
        <w:spacing w:before="0" w:after="160"/>
      </w:pPr>
      <w:r>
        <w:rPr>
          <w:b w:val="0"/>
          <w:i/>
          <w:color w:val="595959"/>
          <w:sz w:val="19"/>
        </w:rPr>
        <w:t>[Note] Responsible network details require confirmation before final publication.</w:t>
      </w:r>
    </w:p>
    <w:p w14:paraId="1BF6492C">
      <w:r>
        <w:br w:type="page"/>
      </w:r>
    </w:p>
    <w:p w14:paraId="4324A8DF">
      <w:pPr>
        <w:pStyle w:val="2"/>
      </w:pPr>
      <w:r>
        <w:rPr>
          <w:color w:val="002B49"/>
        </w:rPr>
        <w:t>Brisbane South East Region</w:t>
      </w:r>
    </w:p>
    <w:p w14:paraId="777D1717">
      <w:pPr>
        <w:pStyle w:val="3"/>
      </w:pPr>
      <w:r>
        <w:rPr>
          <w:color w:val="0066CC"/>
        </w:rPr>
        <w:t>Overview</w:t>
      </w:r>
    </w:p>
    <w:p w14:paraId="3CAB858C">
      <w:pPr>
        <w:spacing w:before="0" w:after="120"/>
      </w:pPr>
      <w:r>
        <w:rPr>
          <w:b w:val="0"/>
          <w:i w:val="0"/>
          <w:sz w:val="21"/>
        </w:rPr>
        <w:t>The Brisbane South East Employment Region is one of Queensland's most diverse regions. It comprises a number of smaller local labour markets with varying industry bases, workforce needs and community characteristics, spanning southern Brisbane, Logan, the Redlands and surrounding areas. The region will host venues for the 2032 Brisbane Olympic and Paralympic Games and is affected by major infrastructure projects including the Logan to Gold Coast Fast Rail Project (Brisbane South East Local Jobs Plan, July 2025).</w:t>
      </w:r>
    </w:p>
    <w:p w14:paraId="4E8354FE">
      <w:pPr>
        <w:spacing w:before="0" w:after="120"/>
      </w:pPr>
      <w:r>
        <w:rPr>
          <w:b w:val="0"/>
          <w:i w:val="0"/>
          <w:sz w:val="21"/>
        </w:rPr>
        <w:t>The region has a strong multicultural character and a large Culturally and Linguistically Diverse (CALD) population, including humanitarian entrants, family-stream migrants and other new arrivals. Settlement services, English language programs and employment support are delivered across the region by a mix of Commonwealth-funded programs, Queensland Government programs and community organisations.</w:t>
      </w:r>
    </w:p>
    <w:p w14:paraId="5D4977AF">
      <w:pPr>
        <w:pStyle w:val="3"/>
      </w:pPr>
      <w:r>
        <w:rPr>
          <w:color w:val="0066CC"/>
        </w:rPr>
        <w:t>Geographic Coverage, Postcodes and Local Government Areas</w:t>
      </w:r>
    </w:p>
    <w:p w14:paraId="3500E131">
      <w:pPr>
        <w:spacing w:before="0" w:after="120"/>
      </w:pPr>
      <w:r>
        <w:rPr>
          <w:b w:val="0"/>
          <w:i w:val="0"/>
          <w:sz w:val="21"/>
        </w:rPr>
        <w:t>The Brisbane South East project footprint covers approximately 62 postcodes spanning the following Local Government Areas (environmental scan scope):</w:t>
      </w:r>
    </w:p>
    <w:p w14:paraId="15E40D49">
      <w:pPr>
        <w:pStyle w:val="23"/>
        <w:spacing w:before="0" w:after="40"/>
      </w:pPr>
      <w:r>
        <w:rPr>
          <w:b w:val="0"/>
          <w:i w:val="0"/>
          <w:sz w:val="21"/>
        </w:rPr>
        <w:t>Brisbane City Council (southern and bayside suburbs).</w:t>
      </w:r>
    </w:p>
    <w:p w14:paraId="55E4774C">
      <w:pPr>
        <w:pStyle w:val="23"/>
        <w:spacing w:before="0" w:after="40"/>
      </w:pPr>
      <w:r>
        <w:rPr>
          <w:b w:val="0"/>
          <w:i w:val="0"/>
          <w:sz w:val="21"/>
        </w:rPr>
        <w:t>Logan City Council.</w:t>
      </w:r>
    </w:p>
    <w:p w14:paraId="207EDE30">
      <w:pPr>
        <w:pStyle w:val="23"/>
        <w:spacing w:before="0" w:after="40"/>
      </w:pPr>
      <w:r>
        <w:rPr>
          <w:b w:val="0"/>
          <w:i w:val="0"/>
          <w:sz w:val="21"/>
        </w:rPr>
        <w:t>Redland City Council.</w:t>
      </w:r>
    </w:p>
    <w:p w14:paraId="5735C033">
      <w:pPr>
        <w:pStyle w:val="23"/>
        <w:spacing w:before="0" w:after="40"/>
      </w:pPr>
      <w:r>
        <w:rPr>
          <w:b w:val="0"/>
          <w:i w:val="0"/>
          <w:sz w:val="21"/>
        </w:rPr>
        <w:t>Scenic Rim Regional Council.</w:t>
      </w:r>
    </w:p>
    <w:p w14:paraId="322D8F3E">
      <w:pPr>
        <w:pStyle w:val="23"/>
        <w:spacing w:before="0" w:after="40"/>
      </w:pPr>
      <w:r>
        <w:rPr>
          <w:b w:val="0"/>
          <w:i w:val="0"/>
          <w:sz w:val="21"/>
        </w:rPr>
        <w:t>Southern parts of the City of Moreton Bay (peripheral coverage; confirm per provider).</w:t>
      </w:r>
    </w:p>
    <w:p w14:paraId="31779083">
      <w:pPr>
        <w:spacing w:before="0" w:after="120"/>
      </w:pPr>
      <w:r>
        <w:rPr>
          <w:b w:val="0"/>
          <w:i w:val="0"/>
          <w:sz w:val="21"/>
        </w:rPr>
        <w:t>Postcodes included in the environmental scan footprint include: 4025, 4078, 4102–4133, 4151–4165, 4169–4174, 4178–4179, 4183–4184, 4205, 4207, 4270, 4275, 4280, 4285 and 4287 (indicative list derived from environmental scan research — boundary confirmation against the official Local Jobs Plan region is required).</w:t>
      </w:r>
    </w:p>
    <w:p w14:paraId="0C56374B">
      <w:pPr>
        <w:spacing w:before="0" w:after="120"/>
      </w:pPr>
      <w:r>
        <w:rPr>
          <w:b w:val="0"/>
          <w:i w:val="0"/>
          <w:sz w:val="21"/>
        </w:rPr>
        <w:t>Suburbs commonly represented in the provider data include Woolloongabba, Stones Corner, Greenslopes, Holland Park, Mount Gravatt, Upper Mount Gravatt, Eight Mile Plains, Runcorn, Sunnybank, Acacia Ridge, Coopers Plains, Salisbury, Carina, Wynnum, Logan Central, Woodridge, Kingston, Slacks Creek, Springwood, Underwood, Browns Plains, Meadowbrook, Loganlea, Crestmead, Marsden, Beenleigh, Capalaba, Cleveland, Victoria Point and Beaudesert. This list is indicative and derived from environmental scan records; it is not an exhaustive official suburb schedule.</w:t>
      </w:r>
    </w:p>
    <w:p w14:paraId="4F9D2F0F">
      <w:pPr>
        <w:shd w:val="clear" w:color="auto" w:fill="F2F2F2"/>
        <w:spacing w:before="0" w:after="160"/>
      </w:pPr>
      <w:r>
        <w:rPr>
          <w:b w:val="0"/>
          <w:i/>
          <w:color w:val="595959"/>
          <w:sz w:val="19"/>
        </w:rPr>
        <w:t>[Note] A complete postcode–suburb–LGA schedule was not available in the supplied source material. Verification required before final publication.</w:t>
      </w:r>
    </w:p>
    <w:p w14:paraId="0B1955DE">
      <w:pPr>
        <w:pStyle w:val="3"/>
      </w:pPr>
      <w:r>
        <w:rPr>
          <w:color w:val="0066CC"/>
        </w:rPr>
        <w:t>Community and Multicultural Context</w:t>
      </w:r>
    </w:p>
    <w:p w14:paraId="0A1FF500">
      <w:pPr>
        <w:spacing w:before="0" w:after="120"/>
      </w:pPr>
      <w:r>
        <w:rPr>
          <w:b w:val="0"/>
          <w:i w:val="0"/>
          <w:sz w:val="21"/>
        </w:rPr>
        <w:t>The Brisbane South East region includes diverse communities of people born overseas, refugees and humanitarian entrants, and long-established multicultural communities. Settlement service data indicates strong demand for settlement casework, English language tuition, employment support, youth services and community capacity building across Brisbane and Logan in particular.</w:t>
      </w:r>
    </w:p>
    <w:p w14:paraId="303A8B4C">
      <w:pPr>
        <w:spacing w:before="0" w:after="120"/>
      </w:pPr>
      <w:r>
        <w:rPr>
          <w:b w:val="0"/>
          <w:i w:val="0"/>
          <w:sz w:val="21"/>
        </w:rPr>
        <w:t>Queensland Government program listings (such as Community Action for a Multicultural Society) identify funded community inclusion activity in Brisbane South, Logan (including Logan Central, Woodridge, Kingston and Yarrabilba) and the Redlands (environmental scan).</w:t>
      </w:r>
    </w:p>
    <w:p w14:paraId="492CF762">
      <w:pPr>
        <w:shd w:val="clear" w:color="auto" w:fill="F2F2F2"/>
        <w:spacing w:before="0" w:after="160"/>
      </w:pPr>
      <w:r>
        <w:rPr>
          <w:b w:val="0"/>
          <w:i/>
          <w:color w:val="595959"/>
          <w:sz w:val="19"/>
        </w:rPr>
        <w:t>[Note] Specific demographic statistics (population counts, language data) were not identified in the supplied source material — verification required before final publication.</w:t>
      </w:r>
    </w:p>
    <w:p w14:paraId="1C878545">
      <w:pPr>
        <w:pStyle w:val="3"/>
      </w:pPr>
      <w:r>
        <w:rPr>
          <w:color w:val="0066CC"/>
        </w:rPr>
        <w:t>Employment Environment and Labour Market</w:t>
      </w:r>
    </w:p>
    <w:p w14:paraId="50F8FD04">
      <w:pPr>
        <w:spacing w:before="0" w:after="120"/>
      </w:pPr>
      <w:r>
        <w:rPr>
          <w:b w:val="0"/>
          <w:i w:val="0"/>
          <w:sz w:val="21"/>
        </w:rPr>
        <w:t>The Brisbane South East Local Jobs Plan (July 2025) identifies the following local labour market characteristics:</w:t>
      </w:r>
    </w:p>
    <w:p w14:paraId="20571D8C">
      <w:pPr>
        <w:pStyle w:val="23"/>
        <w:spacing w:before="0" w:after="40"/>
      </w:pPr>
      <w:r>
        <w:rPr>
          <w:b w:val="0"/>
          <w:i w:val="0"/>
          <w:sz w:val="21"/>
        </w:rPr>
        <w:t>Projected shortfalls of skilled labour in existing, growth and emerging sectors, including health and community care services, manufacturing, construction, retail, hospitality and tourism, and green energy.</w:t>
      </w:r>
    </w:p>
    <w:p w14:paraId="2C4648FF">
      <w:pPr>
        <w:pStyle w:val="23"/>
        <w:spacing w:before="0" w:after="40"/>
      </w:pPr>
      <w:r>
        <w:rPr>
          <w:b w:val="0"/>
          <w:i w:val="0"/>
          <w:sz w:val="21"/>
        </w:rPr>
        <w:t>Housing, transport, costs of living pressures, domestic and family violence, and undiagnosed mental health conditions make it difficult for businesses to attract, engage and retain workers.</w:t>
      </w:r>
    </w:p>
    <w:p w14:paraId="6BAE8CB9">
      <w:pPr>
        <w:pStyle w:val="23"/>
        <w:spacing w:before="0" w:after="40"/>
      </w:pPr>
      <w:r>
        <w:rPr>
          <w:b w:val="0"/>
          <w:i w:val="0"/>
          <w:sz w:val="21"/>
        </w:rPr>
        <w:t>The region comprises multiple small labour markets with varying industry bases, workforce needs and cohorts, including First Nations people, people with disabilities, people from culturally diverse backgrounds, mature age workers, and youth, who require specific tailored employment solutions. Gender equity within these labour markets is also a focus.</w:t>
      </w:r>
    </w:p>
    <w:p w14:paraId="6A84EFAD">
      <w:pPr>
        <w:pStyle w:val="23"/>
        <w:spacing w:before="0" w:after="40"/>
      </w:pPr>
      <w:r>
        <w:rPr>
          <w:b w:val="0"/>
          <w:i w:val="0"/>
          <w:sz w:val="21"/>
        </w:rPr>
        <w:t>Meeting future workforce demand for major projects, including the 2032 Brisbane Olympic and Paralympic Games (with venues located in the region), the Logan to Gold Coast Fast Rail Project and other significant infrastructure and civil projects, including demand for First Nations, culturally diverse, youth, female and mature aged employees as part of major project workforce commitments.</w:t>
      </w:r>
    </w:p>
    <w:p w14:paraId="77DC9EBE">
      <w:pPr>
        <w:spacing w:before="0" w:after="120"/>
      </w:pPr>
      <w:r>
        <w:rPr>
          <w:b w:val="0"/>
          <w:i w:val="0"/>
          <w:sz w:val="21"/>
        </w:rPr>
        <w:t>For people from multicultural and refugee backgrounds, the Local Jobs Plan work has identified barriers to employment including access to jobs, access to training, negative employer perceptions and low language, literacy and numeracy (LLN) levels. A Multicultural Employment Action Group and a First Nations Employment Action Group have been established with key community stakeholder membership to address these challenges.</w:t>
      </w:r>
    </w:p>
    <w:p w14:paraId="50ED12C5">
      <w:pPr>
        <w:pStyle w:val="3"/>
      </w:pPr>
      <w:r>
        <w:rPr>
          <w:color w:val="0066CC"/>
        </w:rPr>
        <w:t>Settlement Needs and Service Considerations</w:t>
      </w:r>
    </w:p>
    <w:p w14:paraId="3B69067E">
      <w:pPr>
        <w:spacing w:before="0" w:after="120"/>
      </w:pPr>
      <w:r>
        <w:rPr>
          <w:b w:val="0"/>
          <w:i w:val="0"/>
          <w:sz w:val="21"/>
        </w:rPr>
        <w:t>Based on the Local Jobs Plan and environmental scan material, service considerations for the region include:</w:t>
      </w:r>
    </w:p>
    <w:p w14:paraId="66F17B97">
      <w:pPr>
        <w:pStyle w:val="23"/>
        <w:spacing w:before="0" w:after="40"/>
      </w:pPr>
      <w:r>
        <w:rPr>
          <w:b w:val="0"/>
          <w:i w:val="0"/>
          <w:sz w:val="21"/>
        </w:rPr>
        <w:t>Transport: access to public transport and driver licensing support is a common practical barrier; several providers offer transport and driving program assistance.</w:t>
      </w:r>
    </w:p>
    <w:p w14:paraId="21868738">
      <w:pPr>
        <w:pStyle w:val="23"/>
        <w:spacing w:before="0" w:after="40"/>
      </w:pPr>
      <w:r>
        <w:rPr>
          <w:b w:val="0"/>
          <w:i w:val="0"/>
          <w:sz w:val="21"/>
        </w:rPr>
        <w:t>Housing: housing stress and affordability affect new arrivals, employers and retention; housing support is provided through SETS, HSP and community services.</w:t>
      </w:r>
    </w:p>
    <w:p w14:paraId="7F6A935C">
      <w:pPr>
        <w:pStyle w:val="23"/>
        <w:spacing w:before="0" w:after="40"/>
      </w:pPr>
      <w:r>
        <w:rPr>
          <w:b w:val="0"/>
          <w:i w:val="0"/>
          <w:sz w:val="21"/>
        </w:rPr>
        <w:t>Language and digital literacy: English proficiency and digital confidence are key barriers to employment and service access; AMEP, SEE and SETS language/digital activities address these needs.</w:t>
      </w:r>
    </w:p>
    <w:p w14:paraId="4F360A04">
      <w:pPr>
        <w:pStyle w:val="23"/>
        <w:spacing w:before="0" w:after="40"/>
      </w:pPr>
      <w:r>
        <w:rPr>
          <w:b w:val="0"/>
          <w:i w:val="0"/>
          <w:sz w:val="21"/>
        </w:rPr>
        <w:t>Economic participation: overseas qualification recognition, first-job experience and employer perceptions are recurring themes; EPRI, DQW, SQW and employment pathways programs respond to these needs.</w:t>
      </w:r>
    </w:p>
    <w:p w14:paraId="04F2AEF7">
      <w:pPr>
        <w:pStyle w:val="23"/>
        <w:spacing w:before="0" w:after="40"/>
      </w:pPr>
      <w:r>
        <w:rPr>
          <w:b w:val="0"/>
          <w:i w:val="0"/>
          <w:sz w:val="21"/>
        </w:rPr>
        <w:t>Health and wellbeing: refugee trauma recovery support (for example QPASTT), domestic and family violence responses and mental health support are part of the regional service system.</w:t>
      </w:r>
    </w:p>
    <w:p w14:paraId="0101DE0A">
      <w:r>
        <w:br w:type="page"/>
      </w:r>
    </w:p>
    <w:p w14:paraId="53BC7795">
      <w:pPr>
        <w:pStyle w:val="3"/>
      </w:pPr>
      <w:r>
        <w:rPr>
          <w:color w:val="0066CC"/>
        </w:rPr>
        <w:t>Document History</w:t>
      </w:r>
    </w:p>
    <w:tbl>
      <w:tblPr>
        <w:tblStyle w:val="35"/>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0" w:type="dxa"/>
          <w:left w:w="80" w:type="dxa"/>
          <w:bottom w:w="40" w:type="dxa"/>
          <w:right w:w="80" w:type="dxa"/>
        </w:tblCellMar>
      </w:tblPr>
      <w:tblGrid>
        <w:gridCol w:w="4819"/>
        <w:gridCol w:w="4819"/>
      </w:tblGrid>
      <w:tr w14:paraId="4582C9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40" w:type="dxa"/>
            <w:left w:w="80" w:type="dxa"/>
            <w:bottom w:w="40" w:type="dxa"/>
            <w:right w:w="80" w:type="dxa"/>
          </w:tblCellMar>
        </w:tblPrEx>
        <w:trPr>
          <w:tblHeader/>
          <w:jc w:val="center"/>
        </w:trPr>
        <w:tc>
          <w:tcPr>
            <w:tcW w:w="2835" w:type="dxa"/>
            <w:shd w:val="clear" w:color="auto" w:fill="002B49"/>
          </w:tcPr>
          <w:p w14:paraId="202A12CE">
            <w:pPr>
              <w:spacing w:before="40" w:after="40" w:line="240" w:lineRule="auto"/>
            </w:pPr>
            <w:r>
              <w:rPr>
                <w:b/>
                <w:color w:val="FFFFFF"/>
                <w:sz w:val="19"/>
              </w:rPr>
              <w:t>Field</w:t>
            </w:r>
          </w:p>
        </w:tc>
        <w:tc>
          <w:tcPr>
            <w:tcW w:w="6520" w:type="dxa"/>
            <w:shd w:val="clear" w:color="auto" w:fill="002B49"/>
          </w:tcPr>
          <w:p w14:paraId="3401588C">
            <w:pPr>
              <w:spacing w:before="40" w:after="40" w:line="240" w:lineRule="auto"/>
            </w:pPr>
            <w:r>
              <w:rPr>
                <w:b/>
                <w:color w:val="FFFFFF"/>
                <w:sz w:val="19"/>
              </w:rPr>
              <w:t>Details</w:t>
            </w:r>
          </w:p>
        </w:tc>
      </w:tr>
      <w:tr w14:paraId="4157C2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40" w:type="dxa"/>
            <w:left w:w="80" w:type="dxa"/>
            <w:bottom w:w="40" w:type="dxa"/>
            <w:right w:w="80" w:type="dxa"/>
          </w:tblCellMar>
        </w:tblPrEx>
        <w:trPr>
          <w:jc w:val="center"/>
        </w:trPr>
        <w:tc>
          <w:tcPr>
            <w:tcW w:w="2835" w:type="dxa"/>
            <w:shd w:val="clear" w:color="auto" w:fill="F5F9FC"/>
          </w:tcPr>
          <w:p w14:paraId="3CCFF20B">
            <w:pPr>
              <w:spacing w:before="40" w:after="40" w:line="240" w:lineRule="auto"/>
            </w:pPr>
            <w:r>
              <w:rPr>
                <w:sz w:val="19"/>
              </w:rPr>
              <w:t>Version</w:t>
            </w:r>
          </w:p>
        </w:tc>
        <w:tc>
          <w:tcPr>
            <w:tcW w:w="6520" w:type="dxa"/>
          </w:tcPr>
          <w:p w14:paraId="71C4A215">
            <w:pPr>
              <w:spacing w:before="40" w:after="40" w:line="240" w:lineRule="auto"/>
            </w:pPr>
            <w:r>
              <w:rPr>
                <w:sz w:val="19"/>
              </w:rPr>
              <w:t>1.0 (Draft)</w:t>
            </w:r>
          </w:p>
        </w:tc>
      </w:tr>
      <w:tr w14:paraId="6087EE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40" w:type="dxa"/>
            <w:left w:w="80" w:type="dxa"/>
            <w:bottom w:w="40" w:type="dxa"/>
            <w:right w:w="80" w:type="dxa"/>
          </w:tblCellMar>
        </w:tblPrEx>
        <w:trPr>
          <w:jc w:val="center"/>
        </w:trPr>
        <w:tc>
          <w:tcPr>
            <w:tcW w:w="2835" w:type="dxa"/>
            <w:shd w:val="clear" w:color="auto" w:fill="F5F9FC"/>
          </w:tcPr>
          <w:p w14:paraId="50EE999A">
            <w:pPr>
              <w:spacing w:before="40" w:after="40" w:line="240" w:lineRule="auto"/>
            </w:pPr>
            <w:r>
              <w:rPr>
                <w:sz w:val="19"/>
              </w:rPr>
              <w:t>Published on</w:t>
            </w:r>
          </w:p>
        </w:tc>
        <w:tc>
          <w:tcPr>
            <w:tcW w:w="6520" w:type="dxa"/>
          </w:tcPr>
          <w:p w14:paraId="0EAB8470">
            <w:pPr>
              <w:spacing w:before="40" w:after="40" w:line="240" w:lineRule="auto"/>
            </w:pPr>
            <w:r>
              <w:rPr>
                <w:sz w:val="19"/>
              </w:rPr>
              <w:t>[date to be confirmed]</w:t>
            </w:r>
          </w:p>
        </w:tc>
      </w:tr>
      <w:tr w14:paraId="49F4F7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40" w:type="dxa"/>
            <w:left w:w="80" w:type="dxa"/>
            <w:bottom w:w="40" w:type="dxa"/>
            <w:right w:w="80" w:type="dxa"/>
          </w:tblCellMar>
        </w:tblPrEx>
        <w:trPr>
          <w:jc w:val="center"/>
        </w:trPr>
        <w:tc>
          <w:tcPr>
            <w:tcW w:w="2835" w:type="dxa"/>
            <w:shd w:val="clear" w:color="auto" w:fill="F5F9FC"/>
          </w:tcPr>
          <w:p w14:paraId="0F65939F">
            <w:pPr>
              <w:spacing w:before="40" w:after="40" w:line="240" w:lineRule="auto"/>
            </w:pPr>
            <w:r>
              <w:rPr>
                <w:sz w:val="19"/>
              </w:rPr>
              <w:t>Effective from</w:t>
            </w:r>
          </w:p>
        </w:tc>
        <w:tc>
          <w:tcPr>
            <w:tcW w:w="6520" w:type="dxa"/>
          </w:tcPr>
          <w:p w14:paraId="42A90C61">
            <w:pPr>
              <w:spacing w:before="40" w:after="40" w:line="240" w:lineRule="auto"/>
            </w:pPr>
            <w:r>
              <w:rPr>
                <w:sz w:val="19"/>
              </w:rPr>
              <w:t>[date to be confirmed]</w:t>
            </w:r>
          </w:p>
        </w:tc>
      </w:tr>
      <w:tr w14:paraId="6F10D3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40" w:type="dxa"/>
            <w:left w:w="80" w:type="dxa"/>
            <w:bottom w:w="40" w:type="dxa"/>
            <w:right w:w="80" w:type="dxa"/>
          </w:tblCellMar>
        </w:tblPrEx>
        <w:trPr>
          <w:jc w:val="center"/>
        </w:trPr>
        <w:tc>
          <w:tcPr>
            <w:tcW w:w="2835" w:type="dxa"/>
            <w:shd w:val="clear" w:color="auto" w:fill="F5F9FC"/>
          </w:tcPr>
          <w:p w14:paraId="2BDB0022">
            <w:pPr>
              <w:spacing w:before="40" w:after="40" w:line="240" w:lineRule="auto"/>
            </w:pPr>
            <w:r>
              <w:rPr>
                <w:sz w:val="19"/>
              </w:rPr>
              <w:t>Changes from previous version</w:t>
            </w:r>
          </w:p>
        </w:tc>
        <w:tc>
          <w:tcPr>
            <w:tcW w:w="6520" w:type="dxa"/>
          </w:tcPr>
          <w:p w14:paraId="74048F07">
            <w:pPr>
              <w:spacing w:before="40" w:after="40" w:line="240" w:lineRule="auto"/>
            </w:pPr>
            <w:r>
              <w:rPr>
                <w:sz w:val="19"/>
              </w:rPr>
              <w:t>Initial Brisbane South East edition prepared from the national Settlement Processes and Services Guide template. Regional content replaced with Brisbane South East information. Provider records drawn from environmental scan research carry verification status.</w:t>
            </w:r>
          </w:p>
        </w:tc>
      </w:tr>
    </w:tbl>
    <w:p w14:paraId="6F46B133">
      <w:pPr>
        <w:pStyle w:val="3"/>
      </w:pPr>
      <w:r>
        <w:rPr>
          <w:color w:val="0066CC"/>
        </w:rPr>
        <w:t>Continuous Improvement</w:t>
      </w:r>
    </w:p>
    <w:p w14:paraId="385E6EBE">
      <w:pPr>
        <w:spacing w:before="0" w:after="120"/>
      </w:pPr>
      <w:r>
        <w:rPr>
          <w:b w:val="0"/>
          <w:i w:val="0"/>
          <w:sz w:val="21"/>
        </w:rPr>
        <w:t>We are committed to continuous improvement and collaboration in our efforts to support the migrant community effectively.</w:t>
      </w:r>
    </w:p>
    <w:p w14:paraId="5CB455DC">
      <w:pPr>
        <w:spacing w:before="0" w:after="120"/>
      </w:pPr>
      <w:r>
        <w:rPr>
          <w:b w:val="0"/>
          <w:i w:val="0"/>
          <w:sz w:val="21"/>
        </w:rPr>
        <w:t>We invite you to join us in this crucial work, ensuring that every individual we serve has the support they need to thrive. Your feedback and contributions are invaluable to refining and enhancing this guide.</w:t>
      </w:r>
    </w:p>
    <w:p w14:paraId="0E4F4455">
      <w:pPr>
        <w:spacing w:before="0" w:after="120"/>
      </w:pPr>
      <w:r>
        <w:rPr>
          <w:b w:val="0"/>
          <w:i w:val="0"/>
          <w:sz w:val="21"/>
        </w:rPr>
        <w:t>Feedback and suggestions can be provided to the Brisbane South East Settlement Leading Partners Network. (Feedback channel / contact details to be confirmed by the responsible network.)</w:t>
      </w:r>
    </w:p>
    <w:p w14:paraId="4D5C8DDC">
      <w:pPr>
        <w:shd w:val="clear" w:color="auto" w:fill="F2F2F2"/>
        <w:spacing w:before="0" w:after="160"/>
      </w:pPr>
      <w:r>
        <w:rPr>
          <w:b w:val="0"/>
          <w:i/>
          <w:color w:val="595959"/>
          <w:sz w:val="19"/>
        </w:rPr>
        <w:t>[Note] Feedback link and QR code not yet available for the Brisbane South East edition — verification required before final publication.</w:t>
      </w:r>
    </w:p>
    <w:p w14:paraId="205A5083">
      <w:r>
        <w:br w:type="page"/>
      </w:r>
    </w:p>
    <w:p w14:paraId="26224B71">
      <w:pPr>
        <w:pStyle w:val="2"/>
      </w:pPr>
      <w:r>
        <w:rPr>
          <w:color w:val="002B49"/>
        </w:rPr>
        <w:t>1. Humanitarian Settlement Program (HSP)</w:t>
      </w:r>
    </w:p>
    <w:p w14:paraId="206B3164">
      <w:pPr>
        <w:spacing w:before="0" w:after="120"/>
      </w:pPr>
      <w:r>
        <w:rPr>
          <w:b w:val="0"/>
          <w:i w:val="0"/>
          <w:sz w:val="21"/>
        </w:rPr>
        <w:t>The Humanitarian Settlement Program (HSP) supports humanitarian entrants and other eligible visa holders during their initial settlement. It helps new arrivals integrate into Australian life by building the skills and knowledge they need to become self-reliant and active members of the community (Department of Home Affairs).</w:t>
      </w:r>
    </w:p>
    <w:p w14:paraId="36979F6D">
      <w:pPr>
        <w:spacing w:before="0" w:after="120"/>
      </w:pPr>
      <w:r>
        <w:rPr>
          <w:b w:val="0"/>
          <w:i w:val="0"/>
          <w:sz w:val="21"/>
        </w:rPr>
        <w:t>The program has a strong focus on helping clients to learn English, gain employment and access education and training.</w:t>
      </w:r>
    </w:p>
    <w:p w14:paraId="4FEA2B9D">
      <w:pPr>
        <w:spacing w:before="0" w:after="120"/>
      </w:pPr>
      <w:r>
        <w:rPr>
          <w:b w:val="0"/>
          <w:i w:val="0"/>
          <w:sz w:val="21"/>
        </w:rPr>
        <w:t>Individuals or families who have complex settlement needs may be eligible to receive assistance under the HSP's Specialised and Intensive Services (SIS).</w:t>
      </w:r>
    </w:p>
    <w:p w14:paraId="3E3BB7B3">
      <w:pPr>
        <w:pStyle w:val="3"/>
      </w:pPr>
      <w:r>
        <w:rPr>
          <w:color w:val="0066CC"/>
        </w:rPr>
        <w:t>1.1 Eligibility</w:t>
      </w:r>
    </w:p>
    <w:p w14:paraId="008989EA">
      <w:pPr>
        <w:spacing w:before="0" w:after="120"/>
      </w:pPr>
      <w:r>
        <w:rPr>
          <w:b w:val="0"/>
          <w:i w:val="0"/>
          <w:sz w:val="21"/>
        </w:rPr>
        <w:t>People granted one of the following visas are eligible to access the HSP on their arrival in Australia:</w:t>
      </w:r>
    </w:p>
    <w:p w14:paraId="03F95D63">
      <w:pPr>
        <w:pStyle w:val="23"/>
        <w:spacing w:before="0" w:after="40"/>
      </w:pPr>
      <w:r>
        <w:rPr>
          <w:b w:val="0"/>
          <w:i w:val="0"/>
          <w:sz w:val="21"/>
        </w:rPr>
        <w:t>Refugee (subclass 200, 201, 203 and 204) visa.</w:t>
      </w:r>
    </w:p>
    <w:p w14:paraId="616DA23A">
      <w:pPr>
        <w:pStyle w:val="23"/>
        <w:spacing w:before="0" w:after="40"/>
      </w:pPr>
      <w:r>
        <w:rPr>
          <w:b w:val="0"/>
          <w:i w:val="0"/>
          <w:sz w:val="21"/>
        </w:rPr>
        <w:t>Global Special Humanitarian (subclass 202) visa*</w:t>
      </w:r>
    </w:p>
    <w:p w14:paraId="55707277">
      <w:pPr>
        <w:spacing w:before="0" w:after="120"/>
      </w:pPr>
      <w:r>
        <w:rPr>
          <w:b w:val="0"/>
          <w:i w:val="0"/>
          <w:sz w:val="21"/>
        </w:rPr>
        <w:t>*Individuals granted a subclass 202 visa under the Community Support Program (CSP) are ineligible to access support under the HSP on their arrival in Australia, as they receive settlement services from their Approved Proposing Organisation. Subject to the approval of the Department, CSP entrants may be eligible to receive Specialised and Intensive Services.</w:t>
      </w:r>
    </w:p>
    <w:p w14:paraId="7504DDB6">
      <w:pPr>
        <w:pStyle w:val="3"/>
      </w:pPr>
      <w:r>
        <w:rPr>
          <w:color w:val="0066CC"/>
        </w:rPr>
        <w:t>1.2 Support</w:t>
      </w:r>
    </w:p>
    <w:p w14:paraId="075F5AEE">
      <w:pPr>
        <w:spacing w:before="0" w:after="120"/>
      </w:pPr>
      <w:r>
        <w:rPr>
          <w:b w:val="0"/>
          <w:i w:val="0"/>
          <w:sz w:val="21"/>
        </w:rPr>
        <w:t>Support is delivered using an individualised case management approach tailored to each client's needs, strengths and goals. Types of support may include:</w:t>
      </w:r>
    </w:p>
    <w:p w14:paraId="4CA73D0B">
      <w:pPr>
        <w:pStyle w:val="23"/>
        <w:spacing w:before="0" w:after="40"/>
      </w:pPr>
      <w:r>
        <w:rPr>
          <w:b w:val="0"/>
          <w:i w:val="0"/>
          <w:sz w:val="21"/>
        </w:rPr>
        <w:t>Airport reception.</w:t>
      </w:r>
    </w:p>
    <w:p w14:paraId="1ED0D6F6">
      <w:pPr>
        <w:pStyle w:val="23"/>
        <w:spacing w:before="0" w:after="40"/>
      </w:pPr>
      <w:r>
        <w:rPr>
          <w:b w:val="0"/>
          <w:i w:val="0"/>
          <w:sz w:val="21"/>
        </w:rPr>
        <w:t>Short-term accommodation.</w:t>
      </w:r>
    </w:p>
    <w:p w14:paraId="341641E7">
      <w:pPr>
        <w:pStyle w:val="23"/>
        <w:spacing w:before="0" w:after="40"/>
      </w:pPr>
      <w:r>
        <w:rPr>
          <w:b w:val="0"/>
          <w:i w:val="0"/>
          <w:sz w:val="21"/>
        </w:rPr>
        <w:t>Referral to mainstream and specialist support services.</w:t>
      </w:r>
    </w:p>
    <w:p w14:paraId="76B79EC4">
      <w:pPr>
        <w:pStyle w:val="23"/>
        <w:spacing w:before="0" w:after="40"/>
      </w:pPr>
      <w:r>
        <w:rPr>
          <w:b w:val="0"/>
          <w:i w:val="0"/>
          <w:sz w:val="21"/>
        </w:rPr>
        <w:t>Connections to local community groups and activities.</w:t>
      </w:r>
    </w:p>
    <w:p w14:paraId="142D3DCF">
      <w:pPr>
        <w:pStyle w:val="23"/>
        <w:spacing w:before="0" w:after="40"/>
      </w:pPr>
      <w:r>
        <w:rPr>
          <w:b w:val="0"/>
          <w:i w:val="0"/>
          <w:sz w:val="21"/>
        </w:rPr>
        <w:t>Assistance to find long-term accommodation.</w:t>
      </w:r>
    </w:p>
    <w:p w14:paraId="53935C2D">
      <w:pPr>
        <w:pStyle w:val="23"/>
        <w:spacing w:before="0" w:after="40"/>
      </w:pPr>
      <w:r>
        <w:rPr>
          <w:b w:val="0"/>
          <w:i w:val="0"/>
          <w:sz w:val="21"/>
        </w:rPr>
        <w:t>Help to learn English, gain employment, and access education and training.</w:t>
      </w:r>
    </w:p>
    <w:p w14:paraId="4C1B82C0">
      <w:pPr>
        <w:pStyle w:val="23"/>
        <w:spacing w:before="0" w:after="40"/>
      </w:pPr>
      <w:r>
        <w:rPr>
          <w:b w:val="0"/>
          <w:i w:val="0"/>
          <w:sz w:val="21"/>
        </w:rPr>
        <w:t>Referrals to education and employment support providers.</w:t>
      </w:r>
    </w:p>
    <w:p w14:paraId="517A90E5">
      <w:pPr>
        <w:pStyle w:val="23"/>
        <w:spacing w:before="0" w:after="40"/>
      </w:pPr>
      <w:r>
        <w:rPr>
          <w:b w:val="0"/>
          <w:i w:val="0"/>
          <w:sz w:val="21"/>
        </w:rPr>
        <w:t>Orientation to Australia, including our values and laws.</w:t>
      </w:r>
    </w:p>
    <w:p w14:paraId="2D42AAEA">
      <w:pPr>
        <w:spacing w:before="0" w:after="120"/>
      </w:pPr>
      <w:r>
        <w:rPr>
          <w:b w:val="0"/>
          <w:i w:val="0"/>
          <w:sz w:val="21"/>
        </w:rPr>
        <w:t>Clients with complex settlement needs are provided with additional case management support, known as Specialised and Intensive Services (SIS).</w:t>
      </w:r>
    </w:p>
    <w:p w14:paraId="3A2BE62C">
      <w:pPr>
        <w:spacing w:before="0" w:after="120"/>
      </w:pPr>
      <w:r>
        <w:rPr>
          <w:b w:val="0"/>
          <w:i w:val="0"/>
          <w:sz w:val="21"/>
        </w:rPr>
        <w:t>HSP service providers can also facilitate the lodgement of applications for the Free Translating Service (FTS) for eligible FTS clients who are unable to lodge online. The Translating and Interpreting Service (TIS National) delivers the Free Translating Service on behalf of the Department of Home Affairs.</w:t>
      </w:r>
    </w:p>
    <w:p w14:paraId="0DC47B4D">
      <w:pPr>
        <w:spacing w:before="0" w:after="120"/>
      </w:pPr>
      <w:r>
        <w:rPr>
          <w:b w:val="0"/>
          <w:i w:val="0"/>
          <w:sz w:val="21"/>
        </w:rPr>
        <w:t>The Free Translating Service is for people settling permanently in Australia. It supports their participation in employment, education and the community. Permanent residents and select temporary or provisional visa holders are able to have up to 10 eligible documents translated into English within the first two years of their eligible visa grant date. TIS National has information about the service in 10 languages.</w:t>
      </w:r>
    </w:p>
    <w:p w14:paraId="69B93D52">
      <w:pPr>
        <w:spacing w:before="0" w:after="120"/>
      </w:pPr>
      <w:r>
        <w:rPr>
          <w:b w:val="0"/>
          <w:i w:val="0"/>
          <w:sz w:val="21"/>
        </w:rPr>
        <w:t>If you need an interpreter to ask about the Free Translating Service: call TIS National on 131 450, state your preferred language, and ask the TIS National operator to connect you to the Translating Services team.</w:t>
      </w:r>
    </w:p>
    <w:p w14:paraId="7E9A8F75">
      <w:pPr>
        <w:spacing w:before="0" w:after="120"/>
      </w:pPr>
      <w:r>
        <w:rPr>
          <w:b w:val="0"/>
          <w:i w:val="0"/>
          <w:sz w:val="21"/>
        </w:rPr>
        <w:t>Most clients exit the HSP after receiving support for between six and 18 months.</w:t>
      </w:r>
    </w:p>
    <w:p w14:paraId="2A494446">
      <w:pPr>
        <w:pStyle w:val="3"/>
      </w:pPr>
      <w:r>
        <w:rPr>
          <w:color w:val="0066CC"/>
        </w:rPr>
        <w:t>1.3 Pre-Arrival</w:t>
      </w:r>
    </w:p>
    <w:p w14:paraId="0BEC8CD2">
      <w:pPr>
        <w:spacing w:before="0" w:after="120"/>
      </w:pPr>
      <w:r>
        <w:rPr>
          <w:b w:val="0"/>
          <w:i w:val="0"/>
          <w:sz w:val="21"/>
        </w:rPr>
        <w:t xml:space="preserve">The Department sends information about </w:t>
      </w:r>
      <w:bookmarkStart w:id="0" w:name="_GoBack"/>
      <w:bookmarkEnd w:id="0"/>
      <w:r>
        <w:rPr>
          <w:b w:val="0"/>
          <w:i w:val="0"/>
          <w:sz w:val="21"/>
          <w:lang w:val="en-US"/>
        </w:rPr>
        <w:t>REQUIRES VERIFICATION</w:t>
      </w:r>
      <w:r>
        <w:rPr>
          <w:b w:val="0"/>
          <w:i w:val="0"/>
          <w:sz w:val="21"/>
        </w:rPr>
        <w:t xml:space="preserve"> arrivals to Services Australia. This information:</w:t>
      </w:r>
    </w:p>
    <w:p w14:paraId="2C1976EE">
      <w:pPr>
        <w:pStyle w:val="23"/>
        <w:spacing w:before="0" w:after="40"/>
      </w:pPr>
      <w:r>
        <w:rPr>
          <w:b w:val="0"/>
          <w:i w:val="0"/>
          <w:sz w:val="21"/>
        </w:rPr>
        <w:t>Assists Services Australia in planning incoming work.</w:t>
      </w:r>
    </w:p>
    <w:p w14:paraId="4E842F81">
      <w:pPr>
        <w:pStyle w:val="23"/>
        <w:spacing w:before="0" w:after="40"/>
      </w:pPr>
      <w:r>
        <w:rPr>
          <w:b w:val="0"/>
          <w:i w:val="0"/>
          <w:sz w:val="21"/>
        </w:rPr>
        <w:t>Provides advice on settlement locations.</w:t>
      </w:r>
    </w:p>
    <w:p w14:paraId="3FE7CAD0">
      <w:pPr>
        <w:pStyle w:val="23"/>
        <w:spacing w:before="0" w:after="40"/>
      </w:pPr>
      <w:r>
        <w:rPr>
          <w:b w:val="0"/>
          <w:i w:val="0"/>
          <w:sz w:val="21"/>
        </w:rPr>
        <w:t>Provides case numbers for both individuals and families.</w:t>
      </w:r>
    </w:p>
    <w:p w14:paraId="78CB206B">
      <w:pPr>
        <w:pStyle w:val="3"/>
      </w:pPr>
      <w:r>
        <w:rPr>
          <w:color w:val="0066CC"/>
        </w:rPr>
        <w:t>1.4 Specialised and Intensive Services (SIS)</w:t>
      </w:r>
    </w:p>
    <w:p w14:paraId="7C70C348">
      <w:pPr>
        <w:spacing w:before="0" w:after="120"/>
      </w:pPr>
      <w:r>
        <w:rPr>
          <w:b w:val="0"/>
          <w:i w:val="0"/>
          <w:sz w:val="21"/>
        </w:rPr>
        <w:t>Specialised and Intensive Services (SIS) under the HSP are available to the following additional visa holders following Department approval:</w:t>
      </w:r>
    </w:p>
    <w:p w14:paraId="3B130134">
      <w:pPr>
        <w:pStyle w:val="23"/>
        <w:spacing w:before="0" w:after="40"/>
      </w:pPr>
      <w:r>
        <w:rPr>
          <w:b w:val="0"/>
          <w:i w:val="0"/>
          <w:sz w:val="21"/>
        </w:rPr>
        <w:t>Protection visa (subclass 866).</w:t>
      </w:r>
    </w:p>
    <w:p w14:paraId="3C334042">
      <w:pPr>
        <w:pStyle w:val="23"/>
        <w:spacing w:before="0" w:after="40"/>
      </w:pPr>
      <w:r>
        <w:rPr>
          <w:b w:val="0"/>
          <w:i w:val="0"/>
          <w:sz w:val="21"/>
        </w:rPr>
        <w:t>Temporary Protection visa (subclass 785).</w:t>
      </w:r>
    </w:p>
    <w:p w14:paraId="13AF60EF">
      <w:pPr>
        <w:pStyle w:val="23"/>
        <w:spacing w:before="0" w:after="40"/>
      </w:pPr>
      <w:r>
        <w:rPr>
          <w:b w:val="0"/>
          <w:i w:val="0"/>
          <w:sz w:val="21"/>
        </w:rPr>
        <w:t>Temporary Humanitarian Stay visa (subclass 449).</w:t>
      </w:r>
    </w:p>
    <w:p w14:paraId="39AD7A1F">
      <w:pPr>
        <w:pStyle w:val="23"/>
        <w:spacing w:before="0" w:after="40"/>
      </w:pPr>
      <w:r>
        <w:rPr>
          <w:b w:val="0"/>
          <w:i w:val="0"/>
          <w:sz w:val="21"/>
        </w:rPr>
        <w:t>Temporary Humanitarian Concern visa (subclass 786).</w:t>
      </w:r>
    </w:p>
    <w:p w14:paraId="74E73C6B">
      <w:pPr>
        <w:pStyle w:val="23"/>
        <w:spacing w:before="0" w:after="40"/>
      </w:pPr>
      <w:r>
        <w:rPr>
          <w:b w:val="0"/>
          <w:i w:val="0"/>
          <w:sz w:val="21"/>
        </w:rPr>
        <w:t>Safe Haven Enterprise visa (subclass 790).</w:t>
      </w:r>
    </w:p>
    <w:p w14:paraId="699B5E2F">
      <w:pPr>
        <w:spacing w:before="0" w:after="120"/>
      </w:pPr>
      <w:r>
        <w:rPr>
          <w:b w:val="0"/>
          <w:i w:val="0"/>
          <w:sz w:val="21"/>
        </w:rPr>
        <w:t>Other visa streams that may be considered subject to eligibility:</w:t>
      </w:r>
    </w:p>
    <w:p w14:paraId="3AAC1B48">
      <w:pPr>
        <w:pStyle w:val="23"/>
        <w:spacing w:before="0" w:after="40"/>
      </w:pPr>
      <w:r>
        <w:rPr>
          <w:b w:val="0"/>
          <w:i w:val="0"/>
          <w:sz w:val="21"/>
        </w:rPr>
        <w:t>Partner (Migrant) visa (subclass 100); Child visa (subclass 101); Orphan Relative visa (subclass 117).</w:t>
      </w:r>
    </w:p>
    <w:p w14:paraId="62322BF5">
      <w:pPr>
        <w:pStyle w:val="23"/>
        <w:spacing w:before="0" w:after="40"/>
      </w:pPr>
      <w:r>
        <w:rPr>
          <w:b w:val="0"/>
          <w:i w:val="0"/>
          <w:sz w:val="21"/>
        </w:rPr>
        <w:t>Partner (Provisional) visa (subclass 309); Partner (Temporary) visa (subclass 820); Partner (Permanent) visa (subclass 801).</w:t>
      </w:r>
    </w:p>
    <w:p w14:paraId="02F643AD">
      <w:pPr>
        <w:pStyle w:val="23"/>
        <w:spacing w:before="0" w:after="40"/>
      </w:pPr>
      <w:r>
        <w:rPr>
          <w:b w:val="0"/>
          <w:i w:val="0"/>
          <w:sz w:val="21"/>
        </w:rPr>
        <w:t>Resolution of Status (Temporary) visa (subclass 850); Resolution of Status visa (subclass 851).</w:t>
      </w:r>
    </w:p>
    <w:p w14:paraId="35289277">
      <w:pPr>
        <w:spacing w:before="0" w:after="120"/>
      </w:pPr>
      <w:r>
        <w:rPr>
          <w:b w:val="0"/>
          <w:i w:val="0"/>
          <w:sz w:val="21"/>
        </w:rPr>
        <w:t>To be eligible for SIS, holders of a visa appearing in the 'other visa streams' list must also: (a) have low English proficiency, and (b) come from a refugee-like background. Specialised and Intensive Services are provided for a period of between 12 and 18 months.</w:t>
      </w:r>
    </w:p>
    <w:p w14:paraId="3D7C2943">
      <w:pPr>
        <w:pStyle w:val="3"/>
      </w:pPr>
      <w:r>
        <w:rPr>
          <w:color w:val="0066CC"/>
        </w:rPr>
        <w:t>1.5 Timeframe to Access SIS</w:t>
      </w:r>
    </w:p>
    <w:p w14:paraId="43688E7F">
      <w:pPr>
        <w:spacing w:before="0" w:after="120"/>
      </w:pPr>
      <w:r>
        <w:rPr>
          <w:b w:val="0"/>
          <w:i w:val="0"/>
          <w:sz w:val="21"/>
        </w:rPr>
        <w:t>Limited timeframes apply for eligible visa holders to access SIS.</w:t>
      </w:r>
    </w:p>
    <w:p w14:paraId="037ACD3B">
      <w:pPr>
        <w:spacing w:before="0" w:after="120"/>
      </w:pPr>
      <w:r>
        <w:rPr>
          <w:b w:val="0"/>
          <w:i w:val="0"/>
          <w:sz w:val="21"/>
        </w:rPr>
        <w:t>Holders of the following visas must be referred to SIS within 5 years of arrival in Australia: Refugee visas (subclass 200, 201, 203 and 204); Global Special Humanitarian visa (subclass 202); Child visa (subclass 101); Orphan Relative visa (subclass 117); Partner (Provisional) visa (subclass 309).</w:t>
      </w:r>
    </w:p>
    <w:p w14:paraId="5206356D">
      <w:pPr>
        <w:spacing w:before="0" w:after="120"/>
      </w:pPr>
      <w:r>
        <w:rPr>
          <w:b w:val="0"/>
          <w:i w:val="0"/>
          <w:sz w:val="21"/>
        </w:rPr>
        <w:t>Holders of the following visas must be referred to SIS within 5 years from the date of their initial visa grant: Protection visa (subclass 866); Temporary Protection visa (subclass 785); Temporary Humanitarian Stay visa (subclass 449); Temporary Humanitarian Concern visa (subclass 786); Safe Haven Enterprise visa (subclass 790); Resolution of Status (Temporary) visa (subclass 850); Resolution of Status visa (subclass 851).</w:t>
      </w:r>
    </w:p>
    <w:p w14:paraId="368D3D1D">
      <w:pPr>
        <w:spacing w:before="0" w:after="120"/>
      </w:pPr>
      <w:r>
        <w:rPr>
          <w:b w:val="0"/>
          <w:i w:val="0"/>
          <w:sz w:val="21"/>
        </w:rPr>
        <w:t>Holders of a Partner (Migrant) visa (subclass 100) must be referred to SIS within 5 years from the date they arrived in Australia on their Partner (Provisional) visa (subclass 309). Holders of a Partner (Permanent) visa (subclass 801) must be referred to SIS within 5 years from the date their Partner (Temporary) visa (subclass 820) was granted.</w:t>
      </w:r>
    </w:p>
    <w:p w14:paraId="25C64814">
      <w:pPr>
        <w:pStyle w:val="3"/>
      </w:pPr>
      <w:r>
        <w:rPr>
          <w:color w:val="0066CC"/>
        </w:rPr>
        <w:t>1.6 Multiple and Complex Barriers</w:t>
      </w:r>
    </w:p>
    <w:p w14:paraId="4B29493C">
      <w:pPr>
        <w:spacing w:before="0" w:after="120"/>
      </w:pPr>
      <w:r>
        <w:rPr>
          <w:b w:val="0"/>
          <w:i w:val="0"/>
          <w:sz w:val="21"/>
        </w:rPr>
        <w:t>To access SIS, eligible visa holders must also demonstrate an inability to independently engage with appropriate supports and be impacted by multiple and complex barriers that may include:</w:t>
      </w:r>
    </w:p>
    <w:p w14:paraId="050172AA">
      <w:pPr>
        <w:pStyle w:val="23"/>
        <w:spacing w:before="0" w:after="40"/>
      </w:pPr>
      <w:r>
        <w:rPr>
          <w:b w:val="0"/>
          <w:i w:val="0"/>
          <w:sz w:val="21"/>
        </w:rPr>
        <w:t>Disability.</w:t>
      </w:r>
    </w:p>
    <w:p w14:paraId="124DA198">
      <w:pPr>
        <w:pStyle w:val="23"/>
        <w:spacing w:before="0" w:after="40"/>
      </w:pPr>
      <w:r>
        <w:rPr>
          <w:b w:val="0"/>
          <w:i w:val="0"/>
          <w:sz w:val="21"/>
        </w:rPr>
        <w:t>Health needs that are severe, critical, long term and/or unmanaged.</w:t>
      </w:r>
    </w:p>
    <w:p w14:paraId="1A69E2EA">
      <w:pPr>
        <w:pStyle w:val="23"/>
        <w:spacing w:before="0" w:after="40"/>
      </w:pPr>
      <w:r>
        <w:rPr>
          <w:b w:val="0"/>
          <w:i w:val="0"/>
          <w:sz w:val="21"/>
        </w:rPr>
        <w:t>Mental health issues.</w:t>
      </w:r>
    </w:p>
    <w:p w14:paraId="5DF3EB06">
      <w:pPr>
        <w:pStyle w:val="23"/>
        <w:spacing w:before="0" w:after="40"/>
      </w:pPr>
      <w:r>
        <w:rPr>
          <w:b w:val="0"/>
          <w:i w:val="0"/>
          <w:sz w:val="21"/>
        </w:rPr>
        <w:t>Homelessness or housing instability.</w:t>
      </w:r>
    </w:p>
    <w:p w14:paraId="1BD883C2">
      <w:pPr>
        <w:pStyle w:val="23"/>
        <w:spacing w:before="0" w:after="40"/>
      </w:pPr>
      <w:r>
        <w:rPr>
          <w:b w:val="0"/>
          <w:i w:val="0"/>
          <w:sz w:val="21"/>
        </w:rPr>
        <w:t>Domestic and family violence.</w:t>
      </w:r>
    </w:p>
    <w:p w14:paraId="0F7C94EE">
      <w:pPr>
        <w:pStyle w:val="23"/>
        <w:spacing w:before="0" w:after="40"/>
      </w:pPr>
      <w:r>
        <w:rPr>
          <w:b w:val="0"/>
          <w:i w:val="0"/>
          <w:sz w:val="21"/>
        </w:rPr>
        <w:t>Child and youth welfare concerns.</w:t>
      </w:r>
    </w:p>
    <w:p w14:paraId="0225B53B">
      <w:pPr>
        <w:pStyle w:val="23"/>
        <w:spacing w:before="0" w:after="40"/>
      </w:pPr>
      <w:r>
        <w:rPr>
          <w:b w:val="0"/>
          <w:i w:val="0"/>
          <w:sz w:val="21"/>
        </w:rPr>
        <w:t>Family and/or relationship breakdown.</w:t>
      </w:r>
    </w:p>
    <w:p w14:paraId="6615A2BC">
      <w:pPr>
        <w:pStyle w:val="23"/>
        <w:spacing w:before="0" w:after="40"/>
      </w:pPr>
      <w:r>
        <w:rPr>
          <w:b w:val="0"/>
          <w:i w:val="0"/>
          <w:sz w:val="21"/>
        </w:rPr>
        <w:t>Social isolation.</w:t>
      </w:r>
    </w:p>
    <w:p w14:paraId="129F2ECC">
      <w:pPr>
        <w:pStyle w:val="23"/>
        <w:spacing w:before="0" w:after="40"/>
      </w:pPr>
      <w:r>
        <w:rPr>
          <w:b w:val="0"/>
          <w:i w:val="0"/>
          <w:sz w:val="21"/>
        </w:rPr>
        <w:t>Financial hardship.</w:t>
      </w:r>
    </w:p>
    <w:p w14:paraId="791358BF">
      <w:pPr>
        <w:pStyle w:val="23"/>
        <w:spacing w:before="0" w:after="40"/>
      </w:pPr>
      <w:r>
        <w:rPr>
          <w:b w:val="0"/>
          <w:i w:val="0"/>
          <w:sz w:val="21"/>
        </w:rPr>
        <w:t>Legal issues.</w:t>
      </w:r>
    </w:p>
    <w:p w14:paraId="38816A51">
      <w:pPr>
        <w:spacing w:before="0" w:after="120"/>
      </w:pPr>
      <w:r>
        <w:rPr>
          <w:b w:val="0"/>
          <w:i w:val="0"/>
          <w:sz w:val="21"/>
        </w:rPr>
        <w:t>Further information about visa subclasses and payment eligibility for visas issued after 1 September 1994 can be found in the Social Security Guide (Visa Subclasses and Payment Eligibility).</w:t>
      </w:r>
    </w:p>
    <w:p w14:paraId="32D77F94">
      <w:pPr>
        <w:pStyle w:val="3"/>
      </w:pPr>
      <w:r>
        <w:rPr>
          <w:color w:val="0066CC"/>
        </w:rPr>
        <w:t>1.7 How to Refer a Person to SIS</w:t>
      </w:r>
    </w:p>
    <w:p w14:paraId="4A6BE322">
      <w:pPr>
        <w:pStyle w:val="23"/>
        <w:spacing w:before="0" w:after="40"/>
      </w:pPr>
      <w:r>
        <w:rPr>
          <w:b w:val="0"/>
          <w:i w:val="0"/>
          <w:sz w:val="21"/>
        </w:rPr>
        <w:t>To refer a person for SIS, complete the online SIS Referral Form (Department of Home Affairs / DSS Online Program Applications portal).</w:t>
      </w:r>
    </w:p>
    <w:p w14:paraId="64075D5B">
      <w:pPr>
        <w:pStyle w:val="23"/>
        <w:spacing w:before="0" w:after="40"/>
      </w:pPr>
      <w:r>
        <w:rPr>
          <w:b w:val="0"/>
          <w:i w:val="0"/>
          <w:sz w:val="21"/>
        </w:rPr>
        <w:t>If you experience technical difficulties completing the online form, contact the Department for assistance by emailing SIS@homeaffairs.gov.au.</w:t>
      </w:r>
    </w:p>
    <w:p w14:paraId="2516BEA0">
      <w:pPr>
        <w:pStyle w:val="23"/>
        <w:spacing w:before="0" w:after="40"/>
      </w:pPr>
      <w:r>
        <w:rPr>
          <w:b w:val="0"/>
          <w:i w:val="0"/>
          <w:sz w:val="21"/>
        </w:rPr>
        <w:t>If you are unsure whether a person is eligible for SIS, contact the Department for assistance by emailing SIS@homeaffairs.gov.au.</w:t>
      </w:r>
    </w:p>
    <w:p w14:paraId="04F3FD10">
      <w:pPr>
        <w:pStyle w:val="23"/>
        <w:spacing w:before="0" w:after="40"/>
      </w:pPr>
      <w:r>
        <w:rPr>
          <w:b w:val="0"/>
          <w:i w:val="0"/>
          <w:sz w:val="21"/>
        </w:rPr>
        <w:t>If you are unable to access the online referral form, contact SIS@homeaffairs.gov.au to request a paper version of the referral form.</w:t>
      </w:r>
    </w:p>
    <w:p w14:paraId="2128B5C1">
      <w:pPr>
        <w:pStyle w:val="3"/>
      </w:pPr>
      <w:r>
        <w:rPr>
          <w:color w:val="0066CC"/>
        </w:rPr>
        <w:t>1.8 What Happens After a Referral is Submitted</w:t>
      </w:r>
    </w:p>
    <w:p w14:paraId="04827CBC">
      <w:pPr>
        <w:spacing w:before="0" w:after="120"/>
      </w:pPr>
      <w:r>
        <w:rPr>
          <w:b w:val="0"/>
          <w:i w:val="0"/>
          <w:sz w:val="21"/>
        </w:rPr>
        <w:t>The Department will assess the eligibility of the person referred and notify the referrer of the outcome. If the person/s meet the eligibility criteria, the Department will engage an HSP service provider to deliver SIS.</w:t>
      </w:r>
    </w:p>
    <w:p w14:paraId="4D151C3C">
      <w:pPr>
        <w:spacing w:before="0" w:after="120"/>
      </w:pPr>
      <w:r>
        <w:rPr>
          <w:b w:val="0"/>
          <w:i w:val="0"/>
          <w:sz w:val="21"/>
        </w:rPr>
        <w:t>The length of time that a person can receive SIS is based on individual need but will generally be a minimum term of up to six months.</w:t>
      </w:r>
    </w:p>
    <w:p w14:paraId="27036227">
      <w:pPr>
        <w:pStyle w:val="3"/>
      </w:pPr>
      <w:r>
        <w:rPr>
          <w:color w:val="0066CC"/>
        </w:rPr>
        <w:t>1.9 Providers</w:t>
      </w:r>
    </w:p>
    <w:p w14:paraId="3E34ECD7">
      <w:pPr>
        <w:spacing w:before="0" w:after="120"/>
      </w:pPr>
      <w:r>
        <w:rPr>
          <w:b w:val="0"/>
          <w:i w:val="0"/>
          <w:sz w:val="21"/>
        </w:rPr>
        <w:t>The Humanitarian Settlement Program (HSP) is delivered on behalf of the Australian Government by 5 service providers in 11 contract regions across Australia (Department of Home Affairs). Further information about the program, including a list of services and providers, is available at the Humanitarian Settlement Program page on the Department of Home Affairs website.</w:t>
      </w:r>
    </w:p>
    <w:p w14:paraId="32F082E3">
      <w:pPr>
        <w:spacing w:before="0" w:after="120"/>
      </w:pPr>
      <w:r>
        <w:rPr>
          <w:b w:val="0"/>
          <w:i w:val="0"/>
          <w:sz w:val="21"/>
        </w:rPr>
        <w:t>In the 'Brisbane and Surrounds' HSP contract region, the HSP service provider is Multicultural Australia, with settlement locations including Brisbane (including Logan), the Gold Coast and surrounding South East Queensland (environmental scan; HSP provider details in Section 2).</w:t>
      </w:r>
    </w:p>
    <w:p w14:paraId="26847B7B">
      <w:pPr>
        <w:spacing w:before="0" w:after="120"/>
      </w:pPr>
      <w:r>
        <w:rPr>
          <w:b w:val="0"/>
          <w:i w:val="0"/>
          <w:sz w:val="21"/>
        </w:rPr>
        <w:t>Refer to ATTACHMENT A for the national HSP provider list.</w:t>
      </w:r>
    </w:p>
    <w:p w14:paraId="56FB29B8">
      <w:r>
        <w:br w:type="page"/>
      </w:r>
    </w:p>
    <w:p w14:paraId="38285C4B">
      <w:pPr>
        <w:pStyle w:val="2"/>
      </w:pPr>
      <w:r>
        <w:rPr>
          <w:color w:val="002B49"/>
        </w:rPr>
        <w:t>2. Multicultural Australia – HSP Provider for Brisbane and Surrounds</w:t>
      </w:r>
    </w:p>
    <w:p w14:paraId="6E45748C">
      <w:pPr>
        <w:shd w:val="clear" w:color="auto" w:fill="F2F2F2"/>
        <w:spacing w:before="0" w:after="160"/>
      </w:pPr>
      <w:r>
        <w:rPr>
          <w:b w:val="0"/>
          <w:i/>
          <w:color w:val="595959"/>
          <w:sz w:val="19"/>
        </w:rPr>
        <w:t>[Note] The original template described AMES Australia, which delivers the HSP in Victoria, South Australia and Tasmania. This section has been rewritten for the Brisbane and Surrounds HSP contract region, where the HSP provider is Multicultural Australia.</w:t>
      </w:r>
    </w:p>
    <w:p w14:paraId="0488FD7E">
      <w:pPr>
        <w:pStyle w:val="4"/>
      </w:pPr>
      <w:r>
        <w:rPr>
          <w:color w:val="002B49"/>
        </w:rPr>
        <w:t>Multicultural Australia — Humanitarian Settlement Program (HSP)</w:t>
      </w:r>
    </w:p>
    <w:tbl>
      <w:tblPr>
        <w:tblStyle w:val="3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30" w:type="dxa"/>
          <w:left w:w="80" w:type="dxa"/>
          <w:bottom w:w="30" w:type="dxa"/>
          <w:right w:w="80" w:type="dxa"/>
        </w:tblCellMar>
      </w:tblPr>
      <w:tblGrid>
        <w:gridCol w:w="4819"/>
        <w:gridCol w:w="4819"/>
      </w:tblGrid>
      <w:tr w14:paraId="2E2DF1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30" w:type="dxa"/>
            <w:left w:w="80" w:type="dxa"/>
            <w:bottom w:w="30" w:type="dxa"/>
            <w:right w:w="80" w:type="dxa"/>
          </w:tblCellMar>
        </w:tblPrEx>
        <w:tc>
          <w:tcPr>
            <w:tcW w:w="2494" w:type="dxa"/>
            <w:shd w:val="clear" w:color="auto" w:fill="E8F4FD"/>
          </w:tcPr>
          <w:p w14:paraId="0FC065EB">
            <w:pPr>
              <w:spacing w:before="20" w:after="20" w:line="240" w:lineRule="auto"/>
            </w:pPr>
            <w:r>
              <w:rPr>
                <w:b/>
                <w:color w:val="002B49"/>
                <w:sz w:val="19"/>
              </w:rPr>
              <w:t>Organisation</w:t>
            </w:r>
          </w:p>
        </w:tc>
        <w:tc>
          <w:tcPr>
            <w:tcW w:w="7143" w:type="dxa"/>
          </w:tcPr>
          <w:p w14:paraId="034E01BA">
            <w:pPr>
              <w:spacing w:before="20" w:after="20" w:line="240" w:lineRule="auto"/>
            </w:pPr>
            <w:r>
              <w:rPr>
                <w:sz w:val="19"/>
              </w:rPr>
              <w:t>Multicultural Australia</w:t>
            </w:r>
          </w:p>
        </w:tc>
      </w:tr>
      <w:tr w14:paraId="03F7AC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30" w:type="dxa"/>
            <w:left w:w="80" w:type="dxa"/>
            <w:bottom w:w="30" w:type="dxa"/>
            <w:right w:w="80" w:type="dxa"/>
          </w:tblCellMar>
        </w:tblPrEx>
        <w:tc>
          <w:tcPr>
            <w:tcW w:w="2494" w:type="dxa"/>
            <w:shd w:val="clear" w:color="auto" w:fill="E8F4FD"/>
          </w:tcPr>
          <w:p w14:paraId="034AF5A1">
            <w:pPr>
              <w:spacing w:before="20" w:after="20" w:line="240" w:lineRule="auto"/>
            </w:pPr>
            <w:r>
              <w:rPr>
                <w:b/>
                <w:color w:val="002B49"/>
                <w:sz w:val="19"/>
              </w:rPr>
              <w:t>Service Category</w:t>
            </w:r>
          </w:p>
        </w:tc>
        <w:tc>
          <w:tcPr>
            <w:tcW w:w="7143" w:type="dxa"/>
          </w:tcPr>
          <w:p w14:paraId="418CDDA9">
            <w:pPr>
              <w:spacing w:before="20" w:after="20" w:line="240" w:lineRule="auto"/>
            </w:pPr>
            <w:r>
              <w:rPr>
                <w:sz w:val="19"/>
              </w:rPr>
              <w:t>Settlement support; case management; community engagement</w:t>
            </w:r>
          </w:p>
        </w:tc>
      </w:tr>
      <w:tr w14:paraId="388771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30" w:type="dxa"/>
            <w:left w:w="80" w:type="dxa"/>
            <w:bottom w:w="30" w:type="dxa"/>
            <w:right w:w="80" w:type="dxa"/>
          </w:tblCellMar>
        </w:tblPrEx>
        <w:tc>
          <w:tcPr>
            <w:tcW w:w="2494" w:type="dxa"/>
            <w:shd w:val="clear" w:color="auto" w:fill="E8F4FD"/>
          </w:tcPr>
          <w:p w14:paraId="04658206">
            <w:pPr>
              <w:spacing w:before="20" w:after="20" w:line="240" w:lineRule="auto"/>
            </w:pPr>
            <w:r>
              <w:rPr>
                <w:b/>
                <w:color w:val="002B49"/>
                <w:sz w:val="19"/>
              </w:rPr>
              <w:t>Program / Service</w:t>
            </w:r>
          </w:p>
        </w:tc>
        <w:tc>
          <w:tcPr>
            <w:tcW w:w="7143" w:type="dxa"/>
          </w:tcPr>
          <w:p w14:paraId="53A3D9E8">
            <w:pPr>
              <w:spacing w:before="20" w:after="20" w:line="240" w:lineRule="auto"/>
            </w:pPr>
            <w:r>
              <w:rPr>
                <w:sz w:val="19"/>
              </w:rPr>
              <w:t>Humanitarian Settlement Program (HSP); also Life Skills training, Care Finder, Refugee Health Outreach Program, Unaccompanied Humanitarian Minors (UHM), Community Support Program (CSP), SETS, multicultural employment programs and youth programs (environmental scan service links)</w:t>
            </w:r>
          </w:p>
        </w:tc>
      </w:tr>
      <w:tr w14:paraId="250F90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30" w:type="dxa"/>
            <w:left w:w="80" w:type="dxa"/>
            <w:bottom w:w="30" w:type="dxa"/>
            <w:right w:w="80" w:type="dxa"/>
          </w:tblCellMar>
        </w:tblPrEx>
        <w:tc>
          <w:tcPr>
            <w:tcW w:w="2494" w:type="dxa"/>
            <w:shd w:val="clear" w:color="auto" w:fill="E8F4FD"/>
          </w:tcPr>
          <w:p w14:paraId="1735723C">
            <w:pPr>
              <w:spacing w:before="20" w:after="20" w:line="240" w:lineRule="auto"/>
            </w:pPr>
            <w:r>
              <w:rPr>
                <w:b/>
                <w:color w:val="002B49"/>
                <w:sz w:val="19"/>
              </w:rPr>
              <w:t>Service Description</w:t>
            </w:r>
          </w:p>
        </w:tc>
        <w:tc>
          <w:tcPr>
            <w:tcW w:w="7143" w:type="dxa"/>
          </w:tcPr>
          <w:p w14:paraId="5E881737">
            <w:pPr>
              <w:spacing w:before="20" w:after="20" w:line="240" w:lineRule="auto"/>
            </w:pPr>
            <w:r>
              <w:rPr>
                <w:sz w:val="19"/>
              </w:rPr>
              <w:t>Delivers HSP settlement services to humanitarian entrants and eligible visa holders in the Brisbane and Surrounds contract region, using an individualised case management approach.</w:t>
            </w:r>
          </w:p>
        </w:tc>
      </w:tr>
      <w:tr w14:paraId="37FE40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30" w:type="dxa"/>
            <w:left w:w="80" w:type="dxa"/>
            <w:bottom w:w="30" w:type="dxa"/>
            <w:right w:w="80" w:type="dxa"/>
          </w:tblCellMar>
        </w:tblPrEx>
        <w:tc>
          <w:tcPr>
            <w:tcW w:w="2494" w:type="dxa"/>
            <w:shd w:val="clear" w:color="auto" w:fill="E8F4FD"/>
          </w:tcPr>
          <w:p w14:paraId="51355164">
            <w:pPr>
              <w:spacing w:before="20" w:after="20" w:line="240" w:lineRule="auto"/>
            </w:pPr>
            <w:r>
              <w:rPr>
                <w:b/>
                <w:color w:val="002B49"/>
                <w:sz w:val="19"/>
              </w:rPr>
              <w:t>Who They Support</w:t>
            </w:r>
          </w:p>
        </w:tc>
        <w:tc>
          <w:tcPr>
            <w:tcW w:w="7143" w:type="dxa"/>
          </w:tcPr>
          <w:p w14:paraId="5292C6C0">
            <w:pPr>
              <w:spacing w:before="20" w:after="20" w:line="240" w:lineRule="auto"/>
            </w:pPr>
            <w:r>
              <w:rPr>
                <w:sz w:val="19"/>
              </w:rPr>
              <w:t>Humanitarian entrants and eligible visa holders under HSP (see Section 1.1)</w:t>
            </w:r>
          </w:p>
        </w:tc>
      </w:tr>
      <w:tr w14:paraId="7CEE51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30" w:type="dxa"/>
            <w:left w:w="80" w:type="dxa"/>
            <w:bottom w:w="30" w:type="dxa"/>
            <w:right w:w="80" w:type="dxa"/>
          </w:tblCellMar>
        </w:tblPrEx>
        <w:tc>
          <w:tcPr>
            <w:tcW w:w="2494" w:type="dxa"/>
            <w:shd w:val="clear" w:color="auto" w:fill="E8F4FD"/>
          </w:tcPr>
          <w:p w14:paraId="1434A0D0">
            <w:pPr>
              <w:spacing w:before="20" w:after="20" w:line="240" w:lineRule="auto"/>
            </w:pPr>
            <w:r>
              <w:rPr>
                <w:b/>
                <w:color w:val="002B49"/>
                <w:sz w:val="19"/>
              </w:rPr>
              <w:t>Eligibility</w:t>
            </w:r>
          </w:p>
        </w:tc>
        <w:tc>
          <w:tcPr>
            <w:tcW w:w="7143" w:type="dxa"/>
          </w:tcPr>
          <w:p w14:paraId="337C6688">
            <w:pPr>
              <w:spacing w:before="20" w:after="20" w:line="240" w:lineRule="auto"/>
            </w:pPr>
            <w:r>
              <w:rPr>
                <w:sz w:val="19"/>
              </w:rPr>
              <w:t>HSP eligibility applies (Section 1.1); SIS eligibility applies for complex needs (Section 1.4)</w:t>
            </w:r>
          </w:p>
        </w:tc>
      </w:tr>
      <w:tr w14:paraId="7D5051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30" w:type="dxa"/>
            <w:left w:w="80" w:type="dxa"/>
            <w:bottom w:w="30" w:type="dxa"/>
            <w:right w:w="80" w:type="dxa"/>
          </w:tblCellMar>
        </w:tblPrEx>
        <w:tc>
          <w:tcPr>
            <w:tcW w:w="2494" w:type="dxa"/>
            <w:shd w:val="clear" w:color="auto" w:fill="E8F4FD"/>
          </w:tcPr>
          <w:p w14:paraId="06668EFD">
            <w:pPr>
              <w:spacing w:before="20" w:after="20" w:line="240" w:lineRule="auto"/>
            </w:pPr>
            <w:r>
              <w:rPr>
                <w:b/>
                <w:color w:val="002B49"/>
                <w:sz w:val="19"/>
              </w:rPr>
              <w:t>Location / Region</w:t>
            </w:r>
          </w:p>
        </w:tc>
        <w:tc>
          <w:tcPr>
            <w:tcW w:w="7143" w:type="dxa"/>
          </w:tcPr>
          <w:p w14:paraId="3BFA2727">
            <w:pPr>
              <w:spacing w:before="20" w:after="20" w:line="240" w:lineRule="auto"/>
            </w:pPr>
            <w:r>
              <w:rPr>
                <w:sz w:val="19"/>
              </w:rPr>
              <w:t>Brisbane (including Logan), Gold Coast and surrounding South East Queensland (contract region settlement locations)</w:t>
            </w:r>
          </w:p>
        </w:tc>
      </w:tr>
      <w:tr w14:paraId="60E7C5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30" w:type="dxa"/>
            <w:left w:w="80" w:type="dxa"/>
            <w:bottom w:w="30" w:type="dxa"/>
            <w:right w:w="80" w:type="dxa"/>
          </w:tblCellMar>
        </w:tblPrEx>
        <w:tc>
          <w:tcPr>
            <w:tcW w:w="2494" w:type="dxa"/>
            <w:shd w:val="clear" w:color="auto" w:fill="E8F4FD"/>
          </w:tcPr>
          <w:p w14:paraId="5E2CCB85">
            <w:pPr>
              <w:spacing w:before="20" w:after="20" w:line="240" w:lineRule="auto"/>
            </w:pPr>
            <w:r>
              <w:rPr>
                <w:b/>
                <w:color w:val="002B49"/>
                <w:sz w:val="19"/>
              </w:rPr>
              <w:t>Address</w:t>
            </w:r>
          </w:p>
        </w:tc>
        <w:tc>
          <w:tcPr>
            <w:tcW w:w="7143" w:type="dxa"/>
          </w:tcPr>
          <w:p w14:paraId="323C61ED">
            <w:pPr>
              <w:spacing w:before="20" w:after="20" w:line="240" w:lineRule="auto"/>
            </w:pPr>
            <w:r>
              <w:rPr>
                <w:sz w:val="19"/>
              </w:rPr>
              <w:t>Brisbane Multicultural Centre, 28 Dibley Street, Woolloongabba QLD 4102; Logan office: 55 Wembley Road, Logan Central QLD 4114</w:t>
            </w:r>
          </w:p>
        </w:tc>
      </w:tr>
      <w:tr w14:paraId="038466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30" w:type="dxa"/>
            <w:left w:w="80" w:type="dxa"/>
            <w:bottom w:w="30" w:type="dxa"/>
            <w:right w:w="80" w:type="dxa"/>
          </w:tblCellMar>
        </w:tblPrEx>
        <w:tc>
          <w:tcPr>
            <w:tcW w:w="2494" w:type="dxa"/>
            <w:shd w:val="clear" w:color="auto" w:fill="E8F4FD"/>
          </w:tcPr>
          <w:p w14:paraId="774918C6">
            <w:pPr>
              <w:spacing w:before="20" w:after="20" w:line="240" w:lineRule="auto"/>
            </w:pPr>
            <w:r>
              <w:rPr>
                <w:b/>
                <w:color w:val="002B49"/>
                <w:sz w:val="19"/>
              </w:rPr>
              <w:t>Phone</w:t>
            </w:r>
          </w:p>
        </w:tc>
        <w:tc>
          <w:tcPr>
            <w:tcW w:w="7143" w:type="dxa"/>
          </w:tcPr>
          <w:p w14:paraId="23727CBA">
            <w:pPr>
              <w:spacing w:before="20" w:after="20" w:line="240" w:lineRule="auto"/>
            </w:pPr>
            <w:r>
              <w:rPr>
                <w:sz w:val="19"/>
              </w:rPr>
              <w:t>Brisbane: 07 3337 5400; Logan: 07 3198 2555</w:t>
            </w:r>
          </w:p>
        </w:tc>
      </w:tr>
      <w:tr w14:paraId="5C99EE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30" w:type="dxa"/>
            <w:left w:w="80" w:type="dxa"/>
            <w:bottom w:w="30" w:type="dxa"/>
            <w:right w:w="80" w:type="dxa"/>
          </w:tblCellMar>
        </w:tblPrEx>
        <w:tc>
          <w:tcPr>
            <w:tcW w:w="2494" w:type="dxa"/>
            <w:shd w:val="clear" w:color="auto" w:fill="E8F4FD"/>
          </w:tcPr>
          <w:p w14:paraId="52843BED">
            <w:pPr>
              <w:spacing w:before="20" w:after="20" w:line="240" w:lineRule="auto"/>
            </w:pPr>
            <w:r>
              <w:rPr>
                <w:b/>
                <w:color w:val="002B49"/>
                <w:sz w:val="19"/>
              </w:rPr>
              <w:t>Email</w:t>
            </w:r>
          </w:p>
        </w:tc>
        <w:tc>
          <w:tcPr>
            <w:tcW w:w="7143" w:type="dxa"/>
          </w:tcPr>
          <w:p w14:paraId="3CEDC161">
            <w:pPr>
              <w:spacing w:before="20" w:after="20" w:line="240" w:lineRule="auto"/>
            </w:pPr>
            <w:r>
              <w:rPr>
                <w:sz w:val="19"/>
              </w:rPr>
              <w:t>welcome@mcaus.org.au; LoganOffice@mcaus.org.au</w:t>
            </w:r>
          </w:p>
        </w:tc>
      </w:tr>
      <w:tr w14:paraId="209848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30" w:type="dxa"/>
            <w:left w:w="80" w:type="dxa"/>
            <w:bottom w:w="30" w:type="dxa"/>
            <w:right w:w="80" w:type="dxa"/>
          </w:tblCellMar>
        </w:tblPrEx>
        <w:tc>
          <w:tcPr>
            <w:tcW w:w="2494" w:type="dxa"/>
            <w:shd w:val="clear" w:color="auto" w:fill="E8F4FD"/>
          </w:tcPr>
          <w:p w14:paraId="5168CBD5">
            <w:pPr>
              <w:spacing w:before="20" w:after="20" w:line="240" w:lineRule="auto"/>
            </w:pPr>
            <w:r>
              <w:rPr>
                <w:b/>
                <w:color w:val="002B49"/>
                <w:sz w:val="19"/>
              </w:rPr>
              <w:t>Website</w:t>
            </w:r>
          </w:p>
        </w:tc>
        <w:tc>
          <w:tcPr>
            <w:tcW w:w="7143" w:type="dxa"/>
          </w:tcPr>
          <w:p w14:paraId="1AAF5556">
            <w:pPr>
              <w:spacing w:before="20" w:after="20" w:line="240" w:lineRule="auto"/>
            </w:pPr>
            <w:r>
              <w:fldChar w:fldCharType="begin"/>
            </w:r>
            <w:r>
              <w:instrText xml:space="preserve"> HYPERLINK "https://www.multiculturalaustralia.org.au" \h </w:instrText>
            </w:r>
            <w:r>
              <w:fldChar w:fldCharType="separate"/>
            </w:r>
            <w:r>
              <w:rPr>
                <w:rFonts w:ascii="Calibri" w:hAnsi="Calibri"/>
                <w:color w:val="0066CC"/>
                <w:sz w:val="19"/>
                <w:u w:val="single"/>
              </w:rPr>
              <w:t>https://www.multiculturalaustralia.org.au</w:t>
            </w:r>
            <w:r>
              <w:rPr>
                <w:rFonts w:ascii="Calibri" w:hAnsi="Calibri"/>
                <w:color w:val="0066CC"/>
                <w:sz w:val="19"/>
                <w:u w:val="single"/>
              </w:rPr>
              <w:fldChar w:fldCharType="end"/>
            </w:r>
            <w:r>
              <w:rPr>
                <w:sz w:val="19"/>
              </w:rPr>
              <w:t xml:space="preserve"> (HSP: /settlement/humanitarian-settlement-program/)</w:t>
            </w:r>
          </w:p>
        </w:tc>
      </w:tr>
      <w:tr w14:paraId="249166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30" w:type="dxa"/>
            <w:left w:w="80" w:type="dxa"/>
            <w:bottom w:w="30" w:type="dxa"/>
            <w:right w:w="80" w:type="dxa"/>
          </w:tblCellMar>
        </w:tblPrEx>
        <w:tc>
          <w:tcPr>
            <w:tcW w:w="2494" w:type="dxa"/>
            <w:shd w:val="clear" w:color="auto" w:fill="E8F4FD"/>
          </w:tcPr>
          <w:p w14:paraId="7C1210AF">
            <w:pPr>
              <w:spacing w:before="20" w:after="20" w:line="240" w:lineRule="auto"/>
            </w:pPr>
            <w:r>
              <w:rPr>
                <w:b/>
                <w:color w:val="002B49"/>
                <w:sz w:val="19"/>
              </w:rPr>
              <w:t>Referral / Intake</w:t>
            </w:r>
          </w:p>
        </w:tc>
        <w:tc>
          <w:tcPr>
            <w:tcW w:w="7143" w:type="dxa"/>
          </w:tcPr>
          <w:p w14:paraId="19A185D1">
            <w:pPr>
              <w:spacing w:before="20" w:after="20" w:line="240" w:lineRule="auto"/>
            </w:pPr>
            <w:r>
              <w:rPr>
                <w:sz w:val="19"/>
              </w:rPr>
              <w:t>HSP-eligible clients are referred pre-arrival by the Department of Home Affairs; SIS referrals via the SIS Referral Form; other programs by direct contact</w:t>
            </w:r>
          </w:p>
        </w:tc>
      </w:tr>
      <w:tr w14:paraId="351319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30" w:type="dxa"/>
            <w:left w:w="80" w:type="dxa"/>
            <w:bottom w:w="30" w:type="dxa"/>
            <w:right w:w="80" w:type="dxa"/>
          </w:tblCellMar>
        </w:tblPrEx>
        <w:tc>
          <w:tcPr>
            <w:tcW w:w="2494" w:type="dxa"/>
            <w:shd w:val="clear" w:color="auto" w:fill="E8F4FD"/>
          </w:tcPr>
          <w:p w14:paraId="5733B5E9">
            <w:pPr>
              <w:spacing w:before="20" w:after="20" w:line="240" w:lineRule="auto"/>
            </w:pPr>
            <w:r>
              <w:rPr>
                <w:b/>
                <w:color w:val="002B49"/>
                <w:sz w:val="19"/>
              </w:rPr>
              <w:t>Self-Referral</w:t>
            </w:r>
          </w:p>
        </w:tc>
        <w:tc>
          <w:tcPr>
            <w:tcW w:w="7143" w:type="dxa"/>
          </w:tcPr>
          <w:p w14:paraId="6427CBA4">
            <w:pPr>
              <w:spacing w:before="20" w:after="20" w:line="240" w:lineRule="auto"/>
            </w:pPr>
            <w:r>
              <w:rPr>
                <w:sz w:val="19"/>
              </w:rPr>
              <w:t>Yes — direct phone/office intake for most programs</w:t>
            </w:r>
          </w:p>
        </w:tc>
      </w:tr>
      <w:tr w14:paraId="7A71A2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30" w:type="dxa"/>
            <w:left w:w="80" w:type="dxa"/>
            <w:bottom w:w="30" w:type="dxa"/>
            <w:right w:w="80" w:type="dxa"/>
          </w:tblCellMar>
        </w:tblPrEx>
        <w:tc>
          <w:tcPr>
            <w:tcW w:w="2494" w:type="dxa"/>
            <w:shd w:val="clear" w:color="auto" w:fill="E8F4FD"/>
          </w:tcPr>
          <w:p w14:paraId="614C0649">
            <w:pPr>
              <w:spacing w:before="20" w:after="20" w:line="240" w:lineRule="auto"/>
            </w:pPr>
            <w:r>
              <w:rPr>
                <w:b/>
                <w:color w:val="002B49"/>
                <w:sz w:val="19"/>
              </w:rPr>
              <w:t>Cost</w:t>
            </w:r>
          </w:p>
        </w:tc>
        <w:tc>
          <w:tcPr>
            <w:tcW w:w="7143" w:type="dxa"/>
          </w:tcPr>
          <w:p w14:paraId="7AA84472">
            <w:pPr>
              <w:spacing w:before="20" w:after="20" w:line="240" w:lineRule="auto"/>
            </w:pPr>
            <w:r>
              <w:rPr>
                <w:sz w:val="19"/>
              </w:rPr>
              <w:t>Government-funded for eligible clients</w:t>
            </w:r>
          </w:p>
        </w:tc>
      </w:tr>
      <w:tr w14:paraId="005748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30" w:type="dxa"/>
            <w:left w:w="80" w:type="dxa"/>
            <w:bottom w:w="30" w:type="dxa"/>
            <w:right w:w="80" w:type="dxa"/>
          </w:tblCellMar>
        </w:tblPrEx>
        <w:tc>
          <w:tcPr>
            <w:tcW w:w="2494" w:type="dxa"/>
            <w:shd w:val="clear" w:color="auto" w:fill="E8F4FD"/>
          </w:tcPr>
          <w:p w14:paraId="155DE0CD">
            <w:pPr>
              <w:spacing w:before="20" w:after="20" w:line="240" w:lineRule="auto"/>
            </w:pPr>
            <w:r>
              <w:rPr>
                <w:b/>
                <w:color w:val="002B49"/>
                <w:sz w:val="19"/>
              </w:rPr>
              <w:t>Languages / Interpreters</w:t>
            </w:r>
          </w:p>
        </w:tc>
        <w:tc>
          <w:tcPr>
            <w:tcW w:w="7143" w:type="dxa"/>
          </w:tcPr>
          <w:p w14:paraId="6EF11C5A">
            <w:pPr>
              <w:spacing w:before="20" w:after="20" w:line="240" w:lineRule="auto"/>
            </w:pPr>
            <w:r>
              <w:rPr>
                <w:sz w:val="19"/>
              </w:rPr>
              <w:t>Multilingual staff and interpreter access available</w:t>
            </w:r>
          </w:p>
        </w:tc>
      </w:tr>
      <w:tr w14:paraId="3C03DA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30" w:type="dxa"/>
            <w:left w:w="80" w:type="dxa"/>
            <w:bottom w:w="30" w:type="dxa"/>
            <w:right w:w="80" w:type="dxa"/>
          </w:tblCellMar>
        </w:tblPrEx>
        <w:tc>
          <w:tcPr>
            <w:tcW w:w="2494" w:type="dxa"/>
            <w:shd w:val="clear" w:color="auto" w:fill="E8F4FD"/>
          </w:tcPr>
          <w:p w14:paraId="72666AFB">
            <w:pPr>
              <w:spacing w:before="20" w:after="20" w:line="240" w:lineRule="auto"/>
            </w:pPr>
            <w:r>
              <w:rPr>
                <w:b/>
                <w:color w:val="002B49"/>
                <w:sz w:val="19"/>
              </w:rPr>
              <w:t>Verification Status</w:t>
            </w:r>
          </w:p>
        </w:tc>
        <w:tc>
          <w:tcPr>
            <w:tcW w:w="7143" w:type="dxa"/>
          </w:tcPr>
          <w:p w14:paraId="3F8C8F19">
            <w:pPr>
              <w:spacing w:before="20" w:after="20" w:line="240" w:lineRule="auto"/>
            </w:pPr>
            <w:r>
              <w:rPr>
                <w:sz w:val="19"/>
                <w:lang w:val="en-US"/>
              </w:rPr>
              <w:t>REQUIRES VERIFICATION</w:t>
            </w:r>
            <w:r>
              <w:rPr>
                <w:sz w:val="19"/>
              </w:rPr>
              <w:t xml:space="preserve"> — HSP provider for the Brisbane and Surrounds contract region (Department of Home Affairs service providers list; environmental scan)</w:t>
            </w:r>
          </w:p>
        </w:tc>
      </w:tr>
      <w:tr w14:paraId="7B5CB6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30" w:type="dxa"/>
            <w:left w:w="80" w:type="dxa"/>
            <w:bottom w:w="30" w:type="dxa"/>
            <w:right w:w="80" w:type="dxa"/>
          </w:tblCellMar>
        </w:tblPrEx>
        <w:tc>
          <w:tcPr>
            <w:tcW w:w="2494" w:type="dxa"/>
            <w:shd w:val="clear" w:color="auto" w:fill="E8F4FD"/>
          </w:tcPr>
          <w:p w14:paraId="04A57185">
            <w:pPr>
              <w:spacing w:before="20" w:after="20" w:line="240" w:lineRule="auto"/>
            </w:pPr>
            <w:r>
              <w:rPr>
                <w:b/>
                <w:color w:val="002B49"/>
                <w:sz w:val="19"/>
              </w:rPr>
              <w:t>Notes</w:t>
            </w:r>
          </w:p>
        </w:tc>
        <w:tc>
          <w:tcPr>
            <w:tcW w:w="7143" w:type="dxa"/>
          </w:tcPr>
          <w:p w14:paraId="4C78085D">
            <w:pPr>
              <w:spacing w:before="20" w:after="20" w:line="240" w:lineRule="auto"/>
            </w:pPr>
            <w:r>
              <w:rPr>
                <w:sz w:val="19"/>
              </w:rPr>
              <w:t>Multicultural Australia also delivers SETS (see Section 4.9), the UHM Program (Section 2.7), CSP (Attachment context), Diverse Queensland Workforce (Section 10.3) and youth services (Section 12).</w:t>
            </w:r>
          </w:p>
        </w:tc>
      </w:tr>
    </w:tbl>
    <w:p w14:paraId="624C9526">
      <w:pPr>
        <w:pStyle w:val="3"/>
      </w:pPr>
      <w:r>
        <w:rPr>
          <w:color w:val="0066CC"/>
        </w:rPr>
        <w:t>2.1 New Arrivals</w:t>
      </w:r>
    </w:p>
    <w:p w14:paraId="1AE03911">
      <w:pPr>
        <w:spacing w:before="0" w:after="120"/>
      </w:pPr>
      <w:r>
        <w:rPr>
          <w:b w:val="0"/>
          <w:i w:val="0"/>
          <w:sz w:val="21"/>
        </w:rPr>
        <w:t>The HSP provider team provides arrival confirmation to Services Australia. A case manager completes the Notification of Refugee Arrival form (SS459) and sends this to Services Australia to confirm the details of the new arrival.</w:t>
      </w:r>
    </w:p>
    <w:p w14:paraId="232729D7">
      <w:pPr>
        <w:spacing w:before="0" w:after="120"/>
      </w:pPr>
      <w:r>
        <w:rPr>
          <w:b w:val="0"/>
          <w:i w:val="0"/>
          <w:sz w:val="21"/>
        </w:rPr>
        <w:t>The HSP provider also sends:</w:t>
      </w:r>
    </w:p>
    <w:p w14:paraId="45EA1ADF">
      <w:pPr>
        <w:pStyle w:val="23"/>
        <w:spacing w:before="0" w:after="40"/>
      </w:pPr>
      <w:r>
        <w:rPr>
          <w:b w:val="0"/>
          <w:i w:val="0"/>
          <w:sz w:val="21"/>
        </w:rPr>
        <w:t>Claim for Persons granted a Refugee, Humanitarian or Protection Visa form (SS415).</w:t>
      </w:r>
    </w:p>
    <w:p w14:paraId="72D55A9E">
      <w:pPr>
        <w:pStyle w:val="23"/>
        <w:spacing w:before="0" w:after="40"/>
      </w:pPr>
      <w:r>
        <w:rPr>
          <w:b w:val="0"/>
          <w:i w:val="0"/>
          <w:sz w:val="21"/>
        </w:rPr>
        <w:t>Medicare enrolment form (MS004).</w:t>
      </w:r>
    </w:p>
    <w:p w14:paraId="752DB863">
      <w:pPr>
        <w:pStyle w:val="23"/>
        <w:spacing w:before="0" w:after="40"/>
      </w:pPr>
      <w:r>
        <w:rPr>
          <w:b w:val="0"/>
          <w:i w:val="0"/>
          <w:sz w:val="21"/>
        </w:rPr>
        <w:t>ID documents (for all family members).</w:t>
      </w:r>
    </w:p>
    <w:p w14:paraId="2D326F91">
      <w:pPr>
        <w:pStyle w:val="23"/>
        <w:spacing w:before="0" w:after="40"/>
      </w:pPr>
      <w:r>
        <w:rPr>
          <w:b w:val="0"/>
          <w:i w:val="0"/>
          <w:sz w:val="21"/>
        </w:rPr>
        <w:t>Bank details.</w:t>
      </w:r>
    </w:p>
    <w:p w14:paraId="4C042ADA">
      <w:pPr>
        <w:pStyle w:val="23"/>
        <w:spacing w:before="0" w:after="40"/>
      </w:pPr>
      <w:r>
        <w:rPr>
          <w:b w:val="0"/>
          <w:i w:val="0"/>
          <w:sz w:val="21"/>
        </w:rPr>
        <w:t>Other relevant documentation or information (for example, special needs).</w:t>
      </w:r>
    </w:p>
    <w:p w14:paraId="32E00999">
      <w:pPr>
        <w:spacing w:before="0" w:after="120"/>
      </w:pPr>
      <w:r>
        <w:rPr>
          <w:b w:val="0"/>
          <w:i w:val="0"/>
          <w:sz w:val="21"/>
        </w:rPr>
        <w:t>Through Services Australia, the client will then: create individual records; process income support claims; apply for a tax file number (TFN); and process Medicare enrolment. This generally occurs within 3 days of a new arrival to Australia.</w:t>
      </w:r>
    </w:p>
    <w:p w14:paraId="27492851">
      <w:pPr>
        <w:pStyle w:val="3"/>
      </w:pPr>
      <w:r>
        <w:rPr>
          <w:color w:val="0066CC"/>
        </w:rPr>
        <w:t>2.2 Case Management Services</w:t>
      </w:r>
    </w:p>
    <w:p w14:paraId="141EC96C">
      <w:pPr>
        <w:spacing w:before="0" w:after="120"/>
      </w:pPr>
      <w:r>
        <w:rPr>
          <w:b w:val="0"/>
          <w:i w:val="0"/>
          <w:sz w:val="21"/>
        </w:rPr>
        <w:t>The HSP case management model consists of a number of sub-services. De</w:t>
      </w:r>
      <w:r>
        <w:rPr>
          <w:b w:val="0"/>
          <w:i w:val="0"/>
          <w:sz w:val="21"/>
          <w:lang w:val="en-US"/>
        </w:rPr>
        <w:t>REQUIRES VERIFICATION</w:t>
      </w:r>
      <w:r>
        <w:rPr>
          <w:b w:val="0"/>
          <w:i w:val="0"/>
          <w:sz w:val="21"/>
        </w:rPr>
        <w:t xml:space="preserve"> on client needs, the provider's settlement team can draw on any of the following:</w:t>
      </w:r>
    </w:p>
    <w:p w14:paraId="5FAC5159">
      <w:pPr>
        <w:pStyle w:val="4"/>
      </w:pPr>
      <w:r>
        <w:rPr>
          <w:color w:val="006B4F"/>
        </w:rPr>
        <w:t>Needs Assessment (Pre and Post Arrival) and a Case Management Plan</w:t>
      </w:r>
    </w:p>
    <w:p w14:paraId="3D49FD98">
      <w:pPr>
        <w:spacing w:before="0" w:after="120"/>
      </w:pPr>
      <w:r>
        <w:rPr>
          <w:b w:val="0"/>
          <w:i w:val="0"/>
          <w:sz w:val="21"/>
        </w:rPr>
        <w:t>Every client is assigned a Case Manager who conducts a needs assessment, then develops and implements a tailored case plan in collaboration with the new arrival. A strength-based approach is used to build on a client's existing strengths to develop a settlement program that will have the greatest impact.</w:t>
      </w:r>
    </w:p>
    <w:p w14:paraId="31CDBDB6">
      <w:pPr>
        <w:spacing w:before="0" w:after="120"/>
      </w:pPr>
      <w:r>
        <w:rPr>
          <w:b w:val="0"/>
          <w:i w:val="0"/>
          <w:sz w:val="21"/>
        </w:rPr>
        <w:t>The Case Manager also draws together a Care Team including the client, case manager, housing coordinator, and volunteer or proposer. Other service providers may be brought in de</w:t>
      </w:r>
      <w:r>
        <w:rPr>
          <w:b w:val="0"/>
          <w:i w:val="0"/>
          <w:sz w:val="21"/>
          <w:lang w:val="en-US"/>
        </w:rPr>
        <w:t>REQUIRES VERIFICATION</w:t>
      </w:r>
      <w:r>
        <w:rPr>
          <w:b w:val="0"/>
          <w:i w:val="0"/>
          <w:sz w:val="21"/>
        </w:rPr>
        <w:t xml:space="preserve"> on the services required for each case.</w:t>
      </w:r>
    </w:p>
    <w:p w14:paraId="05A4C77E">
      <w:pPr>
        <w:pStyle w:val="4"/>
      </w:pPr>
      <w:r>
        <w:rPr>
          <w:color w:val="006B4F"/>
        </w:rPr>
        <w:t>Client Support Workers and Orientation Guides</w:t>
      </w:r>
    </w:p>
    <w:p w14:paraId="7C7DFC5F">
      <w:pPr>
        <w:spacing w:before="0" w:after="120"/>
      </w:pPr>
      <w:r>
        <w:rPr>
          <w:b w:val="0"/>
          <w:i w:val="0"/>
          <w:sz w:val="21"/>
        </w:rPr>
        <w:t>Client Support Workers and Orientation Guides provide settlement support in the client's own language, are from the same cultural background and often share the common experience of having a refugee history.</w:t>
      </w:r>
    </w:p>
    <w:p w14:paraId="5A07E755">
      <w:pPr>
        <w:pStyle w:val="4"/>
      </w:pPr>
      <w:r>
        <w:rPr>
          <w:color w:val="006B4F"/>
        </w:rPr>
        <w:t>On Arrival Logistical Needs</w:t>
      </w:r>
    </w:p>
    <w:p w14:paraId="0CE08324">
      <w:pPr>
        <w:spacing w:before="0" w:after="120"/>
      </w:pPr>
      <w:r>
        <w:rPr>
          <w:b w:val="0"/>
          <w:i w:val="0"/>
          <w:sz w:val="21"/>
        </w:rPr>
        <w:t>Clients are met at the airport and transported to initial accommodation. Upon arrival, clients are provided with information and assistance to enable them to function in their new environment, including provision of food or food vouchers for immediate needs.</w:t>
      </w:r>
    </w:p>
    <w:p w14:paraId="7E6CA6C9">
      <w:pPr>
        <w:pStyle w:val="4"/>
      </w:pPr>
      <w:r>
        <w:rPr>
          <w:color w:val="006B4F"/>
        </w:rPr>
        <w:t>Essential Registrations</w:t>
      </w:r>
    </w:p>
    <w:p w14:paraId="182EB436">
      <w:pPr>
        <w:spacing w:before="0" w:after="120"/>
      </w:pPr>
      <w:r>
        <w:rPr>
          <w:b w:val="0"/>
          <w:i w:val="0"/>
          <w:sz w:val="21"/>
        </w:rPr>
        <w:t>Clients are connected with essential services relevant to their needs, including education and language assistance or financial support. They are also registered with AMEP (if required) and myGov.</w:t>
      </w:r>
    </w:p>
    <w:p w14:paraId="1186512E">
      <w:pPr>
        <w:pStyle w:val="4"/>
      </w:pPr>
      <w:r>
        <w:rPr>
          <w:color w:val="006B4F"/>
        </w:rPr>
        <w:t>Health Services</w:t>
      </w:r>
    </w:p>
    <w:p w14:paraId="0D8D73D7">
      <w:pPr>
        <w:spacing w:before="0" w:after="120"/>
      </w:pPr>
      <w:r>
        <w:rPr>
          <w:b w:val="0"/>
          <w:i w:val="0"/>
          <w:sz w:val="21"/>
        </w:rPr>
        <w:t>Many clients arrive with immediate or ongoing health issues and are connected with health services early in their settlement journey.</w:t>
      </w:r>
    </w:p>
    <w:p w14:paraId="71974AE3">
      <w:pPr>
        <w:pStyle w:val="4"/>
      </w:pPr>
      <w:r>
        <w:rPr>
          <w:color w:val="006B4F"/>
        </w:rPr>
        <w:t>Orientation Program</w:t>
      </w:r>
    </w:p>
    <w:p w14:paraId="75104047">
      <w:pPr>
        <w:spacing w:before="0" w:after="120"/>
      </w:pPr>
      <w:r>
        <w:rPr>
          <w:b w:val="0"/>
          <w:i w:val="0"/>
          <w:sz w:val="21"/>
        </w:rPr>
        <w:t>The Orientation Program aims to equip clients with basic life skills and to build clients' self-confidence and ability to independently access support services in the future.</w:t>
      </w:r>
    </w:p>
    <w:p w14:paraId="47701BD7">
      <w:pPr>
        <w:pStyle w:val="3"/>
      </w:pPr>
      <w:r>
        <w:rPr>
          <w:color w:val="0066CC"/>
        </w:rPr>
        <w:t>2.3 Accommodation Services</w:t>
      </w:r>
    </w:p>
    <w:p w14:paraId="17C9902C">
      <w:pPr>
        <w:spacing w:before="0" w:after="120"/>
      </w:pPr>
      <w:r>
        <w:rPr>
          <w:b w:val="0"/>
          <w:i w:val="0"/>
          <w:sz w:val="21"/>
        </w:rPr>
        <w:t>Clients who require assistance finding initial accommodation may be placed in short-term accommodation and are provided with assistance to find longer term rental accommodation. This is determined by a needs assessment. Some clients may require assistance to set up their new home.</w:t>
      </w:r>
    </w:p>
    <w:p w14:paraId="3B55408E">
      <w:pPr>
        <w:pStyle w:val="3"/>
      </w:pPr>
      <w:r>
        <w:rPr>
          <w:color w:val="0066CC"/>
        </w:rPr>
        <w:t>2.4 Specialised and Intensive Services (SIS)</w:t>
      </w:r>
    </w:p>
    <w:p w14:paraId="26740482">
      <w:pPr>
        <w:spacing w:before="0" w:after="120"/>
      </w:pPr>
      <w:r>
        <w:rPr>
          <w:b w:val="0"/>
          <w:i w:val="0"/>
          <w:sz w:val="21"/>
        </w:rPr>
        <w:t>Specialised and Intensive Services (SIS) aim to provide holistic case management to newly arrived refugees and humanitarian entrants, including those with complex needs. Services are delivered through a tailored, needs-based case management approach (see Sections 1.4–1.8 for eligibility and referral).</w:t>
      </w:r>
    </w:p>
    <w:p w14:paraId="7B18C110">
      <w:pPr>
        <w:pStyle w:val="3"/>
      </w:pPr>
      <w:r>
        <w:rPr>
          <w:color w:val="0066CC"/>
        </w:rPr>
        <w:t>2.5 Volunteer Program</w:t>
      </w:r>
    </w:p>
    <w:p w14:paraId="79D936CE">
      <w:pPr>
        <w:spacing w:before="0" w:after="120"/>
      </w:pPr>
      <w:r>
        <w:rPr>
          <w:b w:val="0"/>
          <w:i w:val="0"/>
          <w:sz w:val="21"/>
        </w:rPr>
        <w:t>A volunteer program provides additional support to clients through their initial settlement.</w:t>
      </w:r>
    </w:p>
    <w:p w14:paraId="63A2664F">
      <w:pPr>
        <w:pStyle w:val="3"/>
      </w:pPr>
      <w:r>
        <w:rPr>
          <w:color w:val="0066CC"/>
        </w:rPr>
        <w:t>2.6 Translation Service</w:t>
      </w:r>
    </w:p>
    <w:p w14:paraId="06B11554">
      <w:pPr>
        <w:spacing w:before="0" w:after="120"/>
      </w:pPr>
      <w:r>
        <w:rPr>
          <w:b w:val="0"/>
          <w:i w:val="0"/>
          <w:sz w:val="21"/>
        </w:rPr>
        <w:t>HSP clients are supported to complete an online application for the Free Translating Service. Each client can have up to 10 documents translated, which may relate to identity (for example, birth/marriage/death certificates), facilitation (for example, drivers' licences, medical records, vaccination), education (for example, school records, qualifications) or employment (for example, trade certificates, references).</w:t>
      </w:r>
    </w:p>
    <w:p w14:paraId="3E71C04E">
      <w:pPr>
        <w:spacing w:before="0" w:after="120"/>
      </w:pPr>
      <w:r>
        <w:rPr>
          <w:b w:val="0"/>
          <w:i w:val="0"/>
          <w:sz w:val="21"/>
        </w:rPr>
        <w:t>Most clients, on average, remain in HSP services for between 6 and 18 months based on individual cases. Upon exit, clients can access Workforce Australia Employment Provider services and/or Settlement Engagement and Transition Support (SETS).</w:t>
      </w:r>
    </w:p>
    <w:p w14:paraId="1D2ACB2E">
      <w:pPr>
        <w:pStyle w:val="3"/>
      </w:pPr>
      <w:r>
        <w:rPr>
          <w:color w:val="0066CC"/>
        </w:rPr>
        <w:t>2.7 Unaccompanied Humanitarian Minors (UHM) Program</w:t>
      </w:r>
    </w:p>
    <w:p w14:paraId="353984F6">
      <w:pPr>
        <w:spacing w:before="0" w:after="120"/>
      </w:pPr>
      <w:r>
        <w:rPr>
          <w:b w:val="0"/>
          <w:i w:val="0"/>
          <w:sz w:val="21"/>
        </w:rPr>
        <w:t>The Unaccompanied Humanitarian Minors (UHM) Program provides specialised care and support for children who arrive in Australia without parents or legal guardians. In Queensland, Multicultural Australia is the main UHM provider, with the Brisbane office located within the Brisbane South East catchment (environmental scan).</w:t>
      </w:r>
    </w:p>
    <w:p w14:paraId="462581A5">
      <w:pPr>
        <w:pStyle w:val="4"/>
      </w:pPr>
      <w:r>
        <w:rPr>
          <w:color w:val="002B49"/>
        </w:rPr>
        <w:t>Multicultural Australia — Unaccompanied Humanitarian Minors (UHM)</w:t>
      </w:r>
    </w:p>
    <w:tbl>
      <w:tblPr>
        <w:tblStyle w:val="3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30" w:type="dxa"/>
          <w:left w:w="80" w:type="dxa"/>
          <w:bottom w:w="30" w:type="dxa"/>
          <w:right w:w="80" w:type="dxa"/>
        </w:tblCellMar>
      </w:tblPr>
      <w:tblGrid>
        <w:gridCol w:w="4819"/>
        <w:gridCol w:w="4819"/>
      </w:tblGrid>
      <w:tr w14:paraId="7479CC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30" w:type="dxa"/>
            <w:left w:w="80" w:type="dxa"/>
            <w:bottom w:w="30" w:type="dxa"/>
            <w:right w:w="80" w:type="dxa"/>
          </w:tblCellMar>
        </w:tblPrEx>
        <w:tc>
          <w:tcPr>
            <w:tcW w:w="2494" w:type="dxa"/>
            <w:shd w:val="clear" w:color="auto" w:fill="E8F4FD"/>
          </w:tcPr>
          <w:p w14:paraId="7B67244B">
            <w:pPr>
              <w:spacing w:before="20" w:after="20" w:line="240" w:lineRule="auto"/>
            </w:pPr>
            <w:r>
              <w:rPr>
                <w:b/>
                <w:color w:val="002B49"/>
                <w:sz w:val="19"/>
              </w:rPr>
              <w:t>Organisation</w:t>
            </w:r>
          </w:p>
        </w:tc>
        <w:tc>
          <w:tcPr>
            <w:tcW w:w="7143" w:type="dxa"/>
          </w:tcPr>
          <w:p w14:paraId="5271FC1F">
            <w:pPr>
              <w:spacing w:before="20" w:after="20" w:line="240" w:lineRule="auto"/>
            </w:pPr>
            <w:r>
              <w:rPr>
                <w:sz w:val="19"/>
              </w:rPr>
              <w:t>Multicultural Australia</w:t>
            </w:r>
          </w:p>
        </w:tc>
      </w:tr>
      <w:tr w14:paraId="5E0976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30" w:type="dxa"/>
            <w:left w:w="80" w:type="dxa"/>
            <w:bottom w:w="30" w:type="dxa"/>
            <w:right w:w="80" w:type="dxa"/>
          </w:tblCellMar>
        </w:tblPrEx>
        <w:tc>
          <w:tcPr>
            <w:tcW w:w="2494" w:type="dxa"/>
            <w:shd w:val="clear" w:color="auto" w:fill="E8F4FD"/>
          </w:tcPr>
          <w:p w14:paraId="652A3BE1">
            <w:pPr>
              <w:spacing w:before="20" w:after="20" w:line="240" w:lineRule="auto"/>
            </w:pPr>
            <w:r>
              <w:rPr>
                <w:b/>
                <w:color w:val="002B49"/>
                <w:sz w:val="19"/>
              </w:rPr>
              <w:t>Program / Service</w:t>
            </w:r>
          </w:p>
        </w:tc>
        <w:tc>
          <w:tcPr>
            <w:tcW w:w="7143" w:type="dxa"/>
          </w:tcPr>
          <w:p w14:paraId="1FC14B97">
            <w:pPr>
              <w:spacing w:before="20" w:after="20" w:line="240" w:lineRule="auto"/>
            </w:pPr>
            <w:r>
              <w:rPr>
                <w:sz w:val="19"/>
              </w:rPr>
              <w:t>Unaccompanied Humanitarian Minors (UHM) Program — UHM care coordination, settlement planning, accommodation/care arrangements and education pathways</w:t>
            </w:r>
          </w:p>
        </w:tc>
      </w:tr>
      <w:tr w14:paraId="18923F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30" w:type="dxa"/>
            <w:left w:w="80" w:type="dxa"/>
            <w:bottom w:w="30" w:type="dxa"/>
            <w:right w:w="80" w:type="dxa"/>
          </w:tblCellMar>
        </w:tblPrEx>
        <w:tc>
          <w:tcPr>
            <w:tcW w:w="2494" w:type="dxa"/>
            <w:shd w:val="clear" w:color="auto" w:fill="E8F4FD"/>
          </w:tcPr>
          <w:p w14:paraId="7740AB49">
            <w:pPr>
              <w:spacing w:before="20" w:after="20" w:line="240" w:lineRule="auto"/>
            </w:pPr>
            <w:r>
              <w:rPr>
                <w:b/>
                <w:color w:val="002B49"/>
                <w:sz w:val="19"/>
              </w:rPr>
              <w:t>Who They Support</w:t>
            </w:r>
          </w:p>
        </w:tc>
        <w:tc>
          <w:tcPr>
            <w:tcW w:w="7143" w:type="dxa"/>
          </w:tcPr>
          <w:p w14:paraId="6E1765BA">
            <w:pPr>
              <w:spacing w:before="20" w:after="20" w:line="240" w:lineRule="auto"/>
            </w:pPr>
            <w:r>
              <w:rPr>
                <w:sz w:val="19"/>
              </w:rPr>
              <w:t>Humanitarian minors under 18 arriving without a parent or legal guardian</w:t>
            </w:r>
          </w:p>
        </w:tc>
      </w:tr>
      <w:tr w14:paraId="455EEA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30" w:type="dxa"/>
            <w:left w:w="80" w:type="dxa"/>
            <w:bottom w:w="30" w:type="dxa"/>
            <w:right w:w="80" w:type="dxa"/>
          </w:tblCellMar>
        </w:tblPrEx>
        <w:tc>
          <w:tcPr>
            <w:tcW w:w="2494" w:type="dxa"/>
            <w:shd w:val="clear" w:color="auto" w:fill="E8F4FD"/>
          </w:tcPr>
          <w:p w14:paraId="59237D18">
            <w:pPr>
              <w:spacing w:before="20" w:after="20" w:line="240" w:lineRule="auto"/>
            </w:pPr>
            <w:r>
              <w:rPr>
                <w:b/>
                <w:color w:val="002B49"/>
                <w:sz w:val="19"/>
              </w:rPr>
              <w:t>Eligibility</w:t>
            </w:r>
          </w:p>
        </w:tc>
        <w:tc>
          <w:tcPr>
            <w:tcW w:w="7143" w:type="dxa"/>
          </w:tcPr>
          <w:p w14:paraId="167F4F3D">
            <w:pPr>
              <w:spacing w:before="20" w:after="20" w:line="240" w:lineRule="auto"/>
            </w:pPr>
            <w:r>
              <w:rPr>
                <w:sz w:val="19"/>
              </w:rPr>
              <w:t>Determined by the Department of Home Affairs UHM pathway</w:t>
            </w:r>
          </w:p>
        </w:tc>
      </w:tr>
      <w:tr w14:paraId="6921A9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30" w:type="dxa"/>
            <w:left w:w="80" w:type="dxa"/>
            <w:bottom w:w="30" w:type="dxa"/>
            <w:right w:w="80" w:type="dxa"/>
          </w:tblCellMar>
        </w:tblPrEx>
        <w:tc>
          <w:tcPr>
            <w:tcW w:w="2494" w:type="dxa"/>
            <w:shd w:val="clear" w:color="auto" w:fill="E8F4FD"/>
          </w:tcPr>
          <w:p w14:paraId="7A857A7C">
            <w:pPr>
              <w:spacing w:before="20" w:after="20" w:line="240" w:lineRule="auto"/>
            </w:pPr>
            <w:r>
              <w:rPr>
                <w:b/>
                <w:color w:val="002B49"/>
                <w:sz w:val="19"/>
              </w:rPr>
              <w:t>Location</w:t>
            </w:r>
          </w:p>
        </w:tc>
        <w:tc>
          <w:tcPr>
            <w:tcW w:w="7143" w:type="dxa"/>
          </w:tcPr>
          <w:p w14:paraId="301A9B75">
            <w:pPr>
              <w:spacing w:before="20" w:after="20" w:line="240" w:lineRule="auto"/>
            </w:pPr>
            <w:r>
              <w:rPr>
                <w:sz w:val="19"/>
              </w:rPr>
              <w:t>Brisbane Multicultural Centre, 28 Dibley Street, Woolloongabba QLD 4102; service across Brisbane South East, Brisbane City, Logan, Redland, Moreton Bay and broader South East Queensland</w:t>
            </w:r>
          </w:p>
        </w:tc>
      </w:tr>
      <w:tr w14:paraId="2D336E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30" w:type="dxa"/>
            <w:left w:w="80" w:type="dxa"/>
            <w:bottom w:w="30" w:type="dxa"/>
            <w:right w:w="80" w:type="dxa"/>
          </w:tblCellMar>
        </w:tblPrEx>
        <w:tc>
          <w:tcPr>
            <w:tcW w:w="2494" w:type="dxa"/>
            <w:shd w:val="clear" w:color="auto" w:fill="E8F4FD"/>
          </w:tcPr>
          <w:p w14:paraId="2DD136E3">
            <w:pPr>
              <w:spacing w:before="20" w:after="20" w:line="240" w:lineRule="auto"/>
            </w:pPr>
            <w:r>
              <w:rPr>
                <w:b/>
                <w:color w:val="002B49"/>
                <w:sz w:val="19"/>
              </w:rPr>
              <w:t>Phone</w:t>
            </w:r>
          </w:p>
        </w:tc>
        <w:tc>
          <w:tcPr>
            <w:tcW w:w="7143" w:type="dxa"/>
          </w:tcPr>
          <w:p w14:paraId="253ED48B">
            <w:pPr>
              <w:spacing w:before="20" w:after="20" w:line="240" w:lineRule="auto"/>
            </w:pPr>
            <w:r>
              <w:rPr>
                <w:sz w:val="19"/>
              </w:rPr>
              <w:t>07 3337 5400</w:t>
            </w:r>
          </w:p>
        </w:tc>
      </w:tr>
      <w:tr w14:paraId="3CEBC3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30" w:type="dxa"/>
            <w:left w:w="80" w:type="dxa"/>
            <w:bottom w:w="30" w:type="dxa"/>
            <w:right w:w="80" w:type="dxa"/>
          </w:tblCellMar>
        </w:tblPrEx>
        <w:tc>
          <w:tcPr>
            <w:tcW w:w="2494" w:type="dxa"/>
            <w:shd w:val="clear" w:color="auto" w:fill="E8F4FD"/>
          </w:tcPr>
          <w:p w14:paraId="7DC69152">
            <w:pPr>
              <w:spacing w:before="20" w:after="20" w:line="240" w:lineRule="auto"/>
            </w:pPr>
            <w:r>
              <w:rPr>
                <w:b/>
                <w:color w:val="002B49"/>
                <w:sz w:val="19"/>
              </w:rPr>
              <w:t>Email</w:t>
            </w:r>
          </w:p>
        </w:tc>
        <w:tc>
          <w:tcPr>
            <w:tcW w:w="7143" w:type="dxa"/>
          </w:tcPr>
          <w:p w14:paraId="4336F525">
            <w:pPr>
              <w:spacing w:before="20" w:after="20" w:line="240" w:lineRule="auto"/>
            </w:pPr>
            <w:r>
              <w:rPr>
                <w:sz w:val="19"/>
              </w:rPr>
              <w:t>welcome@mcaus.org.au</w:t>
            </w:r>
          </w:p>
        </w:tc>
      </w:tr>
      <w:tr w14:paraId="600C8D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30" w:type="dxa"/>
            <w:left w:w="80" w:type="dxa"/>
            <w:bottom w:w="30" w:type="dxa"/>
            <w:right w:w="80" w:type="dxa"/>
          </w:tblCellMar>
        </w:tblPrEx>
        <w:tc>
          <w:tcPr>
            <w:tcW w:w="2494" w:type="dxa"/>
            <w:shd w:val="clear" w:color="auto" w:fill="E8F4FD"/>
          </w:tcPr>
          <w:p w14:paraId="04F29D04">
            <w:pPr>
              <w:spacing w:before="20" w:after="20" w:line="240" w:lineRule="auto"/>
            </w:pPr>
            <w:r>
              <w:rPr>
                <w:b/>
                <w:color w:val="002B49"/>
                <w:sz w:val="19"/>
              </w:rPr>
              <w:t>Website</w:t>
            </w:r>
          </w:p>
        </w:tc>
        <w:tc>
          <w:tcPr>
            <w:tcW w:w="7143" w:type="dxa"/>
          </w:tcPr>
          <w:p w14:paraId="15DFB752">
            <w:pPr>
              <w:spacing w:before="20" w:after="20" w:line="240" w:lineRule="auto"/>
            </w:pPr>
            <w:r>
              <w:fldChar w:fldCharType="begin"/>
            </w:r>
            <w:r>
              <w:instrText xml:space="preserve"> HYPERLINK "https://www.multiculturalaustralia.org.au" \h </w:instrText>
            </w:r>
            <w:r>
              <w:fldChar w:fldCharType="separate"/>
            </w:r>
            <w:r>
              <w:rPr>
                <w:rFonts w:ascii="Calibri" w:hAnsi="Calibri"/>
                <w:color w:val="0066CC"/>
                <w:sz w:val="19"/>
                <w:u w:val="single"/>
              </w:rPr>
              <w:t>https://www.multiculturalaustralia.org.au</w:t>
            </w:r>
            <w:r>
              <w:rPr>
                <w:rFonts w:ascii="Calibri" w:hAnsi="Calibri"/>
                <w:color w:val="0066CC"/>
                <w:sz w:val="19"/>
                <w:u w:val="single"/>
              </w:rPr>
              <w:fldChar w:fldCharType="end"/>
            </w:r>
          </w:p>
        </w:tc>
      </w:tr>
      <w:tr w14:paraId="717B3E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30" w:type="dxa"/>
            <w:left w:w="80" w:type="dxa"/>
            <w:bottom w:w="30" w:type="dxa"/>
            <w:right w:w="80" w:type="dxa"/>
          </w:tblCellMar>
        </w:tblPrEx>
        <w:tc>
          <w:tcPr>
            <w:tcW w:w="2494" w:type="dxa"/>
            <w:shd w:val="clear" w:color="auto" w:fill="E8F4FD"/>
          </w:tcPr>
          <w:p w14:paraId="4294411A">
            <w:pPr>
              <w:spacing w:before="20" w:after="20" w:line="240" w:lineRule="auto"/>
            </w:pPr>
            <w:r>
              <w:rPr>
                <w:b/>
                <w:color w:val="002B49"/>
                <w:sz w:val="19"/>
              </w:rPr>
              <w:t>Referral / Intake</w:t>
            </w:r>
          </w:p>
        </w:tc>
        <w:tc>
          <w:tcPr>
            <w:tcW w:w="7143" w:type="dxa"/>
          </w:tcPr>
          <w:p w14:paraId="254D8112">
            <w:pPr>
              <w:spacing w:before="20" w:after="20" w:line="240" w:lineRule="auto"/>
            </w:pPr>
            <w:r>
              <w:rPr>
                <w:sz w:val="19"/>
              </w:rPr>
              <w:t>Government referral through the Department of Home Affairs UHM pathway (not self-referral)</w:t>
            </w:r>
          </w:p>
        </w:tc>
      </w:tr>
      <w:tr w14:paraId="172463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30" w:type="dxa"/>
            <w:left w:w="80" w:type="dxa"/>
            <w:bottom w:w="30" w:type="dxa"/>
            <w:right w:w="80" w:type="dxa"/>
          </w:tblCellMar>
        </w:tblPrEx>
        <w:tc>
          <w:tcPr>
            <w:tcW w:w="2494" w:type="dxa"/>
            <w:shd w:val="clear" w:color="auto" w:fill="E8F4FD"/>
          </w:tcPr>
          <w:p w14:paraId="1E47A919">
            <w:pPr>
              <w:spacing w:before="20" w:after="20" w:line="240" w:lineRule="auto"/>
            </w:pPr>
            <w:r>
              <w:rPr>
                <w:b/>
                <w:color w:val="002B49"/>
                <w:sz w:val="19"/>
              </w:rPr>
              <w:t>Verification Status</w:t>
            </w:r>
          </w:p>
        </w:tc>
        <w:tc>
          <w:tcPr>
            <w:tcW w:w="7143" w:type="dxa"/>
          </w:tcPr>
          <w:p w14:paraId="171C47AC">
            <w:pPr>
              <w:spacing w:before="20" w:after="20" w:line="240" w:lineRule="auto"/>
            </w:pPr>
            <w:r>
              <w:rPr>
                <w:sz w:val="19"/>
                <w:lang w:val="en-US"/>
              </w:rPr>
              <w:t>REQUIRES VERIFICATION</w:t>
            </w:r>
            <w:r>
              <w:rPr>
                <w:sz w:val="19"/>
              </w:rPr>
              <w:t xml:space="preserve"> (environmental scan; Queensland UHM provider)</w:t>
            </w:r>
          </w:p>
        </w:tc>
      </w:tr>
    </w:tbl>
    <w:p w14:paraId="4A7EA40D">
      <w:pPr>
        <w:pStyle w:val="4"/>
      </w:pPr>
      <w:r>
        <w:rPr>
          <w:color w:val="002B49"/>
        </w:rPr>
        <w:t>Marist180 — UHM Residential Care (national)</w:t>
      </w:r>
    </w:p>
    <w:tbl>
      <w:tblPr>
        <w:tblStyle w:val="3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30" w:type="dxa"/>
          <w:left w:w="80" w:type="dxa"/>
          <w:bottom w:w="30" w:type="dxa"/>
          <w:right w:w="80" w:type="dxa"/>
        </w:tblCellMar>
      </w:tblPr>
      <w:tblGrid>
        <w:gridCol w:w="4819"/>
        <w:gridCol w:w="4819"/>
      </w:tblGrid>
      <w:tr w14:paraId="7265F1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30" w:type="dxa"/>
            <w:left w:w="80" w:type="dxa"/>
            <w:bottom w:w="30" w:type="dxa"/>
            <w:right w:w="80" w:type="dxa"/>
          </w:tblCellMar>
        </w:tblPrEx>
        <w:tc>
          <w:tcPr>
            <w:tcW w:w="2494" w:type="dxa"/>
            <w:shd w:val="clear" w:color="auto" w:fill="E8F4FD"/>
          </w:tcPr>
          <w:p w14:paraId="4A4F1A7B">
            <w:pPr>
              <w:spacing w:before="20" w:after="20" w:line="240" w:lineRule="auto"/>
            </w:pPr>
            <w:r>
              <w:rPr>
                <w:b/>
                <w:color w:val="002B49"/>
                <w:sz w:val="19"/>
              </w:rPr>
              <w:t>Organisation</w:t>
            </w:r>
          </w:p>
        </w:tc>
        <w:tc>
          <w:tcPr>
            <w:tcW w:w="7143" w:type="dxa"/>
          </w:tcPr>
          <w:p w14:paraId="29209ED0">
            <w:pPr>
              <w:spacing w:before="20" w:after="20" w:line="240" w:lineRule="auto"/>
            </w:pPr>
            <w:r>
              <w:rPr>
                <w:sz w:val="19"/>
              </w:rPr>
              <w:t>Marist180</w:t>
            </w:r>
          </w:p>
        </w:tc>
      </w:tr>
      <w:tr w14:paraId="767F75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30" w:type="dxa"/>
            <w:left w:w="80" w:type="dxa"/>
            <w:bottom w:w="30" w:type="dxa"/>
            <w:right w:w="80" w:type="dxa"/>
          </w:tblCellMar>
        </w:tblPrEx>
        <w:tc>
          <w:tcPr>
            <w:tcW w:w="2494" w:type="dxa"/>
            <w:shd w:val="clear" w:color="auto" w:fill="E8F4FD"/>
          </w:tcPr>
          <w:p w14:paraId="4B52C9CF">
            <w:pPr>
              <w:spacing w:before="20" w:after="20" w:line="240" w:lineRule="auto"/>
            </w:pPr>
            <w:r>
              <w:rPr>
                <w:b/>
                <w:color w:val="002B49"/>
                <w:sz w:val="19"/>
              </w:rPr>
              <w:t>Program / Service</w:t>
            </w:r>
          </w:p>
        </w:tc>
        <w:tc>
          <w:tcPr>
            <w:tcW w:w="7143" w:type="dxa"/>
          </w:tcPr>
          <w:p w14:paraId="05F2547D">
            <w:pPr>
              <w:spacing w:before="20" w:after="20" w:line="240" w:lineRule="auto"/>
            </w:pPr>
            <w:r>
              <w:rPr>
                <w:sz w:val="19"/>
              </w:rPr>
              <w:t>Unaccompanied Humanitarian Minors Program — residential care, youth care, supervision, case management and education pathways</w:t>
            </w:r>
          </w:p>
        </w:tc>
      </w:tr>
      <w:tr w14:paraId="0150A1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30" w:type="dxa"/>
            <w:left w:w="80" w:type="dxa"/>
            <w:bottom w:w="30" w:type="dxa"/>
            <w:right w:w="80" w:type="dxa"/>
          </w:tblCellMar>
        </w:tblPrEx>
        <w:tc>
          <w:tcPr>
            <w:tcW w:w="2494" w:type="dxa"/>
            <w:shd w:val="clear" w:color="auto" w:fill="E8F4FD"/>
          </w:tcPr>
          <w:p w14:paraId="4F98B412">
            <w:pPr>
              <w:spacing w:before="20" w:after="20" w:line="240" w:lineRule="auto"/>
            </w:pPr>
            <w:r>
              <w:rPr>
                <w:b/>
                <w:color w:val="002B49"/>
                <w:sz w:val="19"/>
              </w:rPr>
              <w:t>Who They Support</w:t>
            </w:r>
          </w:p>
        </w:tc>
        <w:tc>
          <w:tcPr>
            <w:tcW w:w="7143" w:type="dxa"/>
          </w:tcPr>
          <w:p w14:paraId="09005774">
            <w:pPr>
              <w:spacing w:before="20" w:after="20" w:line="240" w:lineRule="auto"/>
            </w:pPr>
            <w:r>
              <w:rPr>
                <w:sz w:val="19"/>
              </w:rPr>
              <w:t>UHM children and vulnerable young people requiring approved care arrangements</w:t>
            </w:r>
          </w:p>
        </w:tc>
      </w:tr>
      <w:tr w14:paraId="60736B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30" w:type="dxa"/>
            <w:left w:w="80" w:type="dxa"/>
            <w:bottom w:w="30" w:type="dxa"/>
            <w:right w:w="80" w:type="dxa"/>
          </w:tblCellMar>
        </w:tblPrEx>
        <w:tc>
          <w:tcPr>
            <w:tcW w:w="2494" w:type="dxa"/>
            <w:shd w:val="clear" w:color="auto" w:fill="E8F4FD"/>
          </w:tcPr>
          <w:p w14:paraId="7BD89F75">
            <w:pPr>
              <w:spacing w:before="20" w:after="20" w:line="240" w:lineRule="auto"/>
            </w:pPr>
            <w:r>
              <w:rPr>
                <w:b/>
                <w:color w:val="002B49"/>
                <w:sz w:val="19"/>
              </w:rPr>
              <w:t>Referral / Intake</w:t>
            </w:r>
          </w:p>
        </w:tc>
        <w:tc>
          <w:tcPr>
            <w:tcW w:w="7143" w:type="dxa"/>
          </w:tcPr>
          <w:p w14:paraId="263E7BCE">
            <w:pPr>
              <w:spacing w:before="20" w:after="20" w:line="240" w:lineRule="auto"/>
            </w:pPr>
            <w:r>
              <w:rPr>
                <w:sz w:val="19"/>
              </w:rPr>
              <w:t>Government placement referral</w:t>
            </w:r>
          </w:p>
        </w:tc>
      </w:tr>
      <w:tr w14:paraId="71D089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30" w:type="dxa"/>
            <w:left w:w="80" w:type="dxa"/>
            <w:bottom w:w="30" w:type="dxa"/>
            <w:right w:w="80" w:type="dxa"/>
          </w:tblCellMar>
        </w:tblPrEx>
        <w:tc>
          <w:tcPr>
            <w:tcW w:w="2494" w:type="dxa"/>
            <w:shd w:val="clear" w:color="auto" w:fill="E8F4FD"/>
          </w:tcPr>
          <w:p w14:paraId="3D06D10C">
            <w:pPr>
              <w:spacing w:before="20" w:after="20" w:line="240" w:lineRule="auto"/>
            </w:pPr>
            <w:r>
              <w:rPr>
                <w:b/>
                <w:color w:val="002B49"/>
                <w:sz w:val="19"/>
              </w:rPr>
              <w:t>Contact</w:t>
            </w:r>
          </w:p>
        </w:tc>
        <w:tc>
          <w:tcPr>
            <w:tcW w:w="7143" w:type="dxa"/>
          </w:tcPr>
          <w:p w14:paraId="7242081C">
            <w:pPr>
              <w:spacing w:before="20" w:after="20" w:line="240" w:lineRule="auto"/>
            </w:pPr>
            <w:r>
              <w:rPr>
                <w:sz w:val="19"/>
              </w:rPr>
              <w:t xml:space="preserve">PO Box 451, Blacktown NSW 2148; 02 9672 9200; info@m180.org.au; </w:t>
            </w:r>
            <w:r>
              <w:fldChar w:fldCharType="begin"/>
            </w:r>
            <w:r>
              <w:instrText xml:space="preserve"> HYPERLINK "https://www.marist180.org.au" \h </w:instrText>
            </w:r>
            <w:r>
              <w:fldChar w:fldCharType="separate"/>
            </w:r>
            <w:r>
              <w:rPr>
                <w:rFonts w:ascii="Calibri" w:hAnsi="Calibri"/>
                <w:color w:val="0066CC"/>
                <w:sz w:val="19"/>
                <w:u w:val="single"/>
              </w:rPr>
              <w:t>www.marist180.org.au</w:t>
            </w:r>
            <w:r>
              <w:rPr>
                <w:rFonts w:ascii="Calibri" w:hAnsi="Calibri"/>
                <w:color w:val="0066CC"/>
                <w:sz w:val="19"/>
                <w:u w:val="single"/>
              </w:rPr>
              <w:fldChar w:fldCharType="end"/>
            </w:r>
          </w:p>
        </w:tc>
      </w:tr>
      <w:tr w14:paraId="091870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30" w:type="dxa"/>
            <w:left w:w="80" w:type="dxa"/>
            <w:bottom w:w="30" w:type="dxa"/>
            <w:right w:w="80" w:type="dxa"/>
          </w:tblCellMar>
        </w:tblPrEx>
        <w:tc>
          <w:tcPr>
            <w:tcW w:w="2494" w:type="dxa"/>
            <w:shd w:val="clear" w:color="auto" w:fill="E8F4FD"/>
          </w:tcPr>
          <w:p w14:paraId="75711421">
            <w:pPr>
              <w:spacing w:before="20" w:after="20" w:line="240" w:lineRule="auto"/>
            </w:pPr>
            <w:r>
              <w:rPr>
                <w:b/>
                <w:color w:val="002B49"/>
                <w:sz w:val="19"/>
              </w:rPr>
              <w:t>Verification Status</w:t>
            </w:r>
          </w:p>
        </w:tc>
        <w:tc>
          <w:tcPr>
            <w:tcW w:w="7143" w:type="dxa"/>
          </w:tcPr>
          <w:p w14:paraId="5DB5B3C4">
            <w:pPr>
              <w:spacing w:before="20" w:after="20" w:line="240" w:lineRule="auto"/>
            </w:pPr>
            <w:r>
              <w:rPr>
                <w:sz w:val="19"/>
                <w:lang w:val="en-US"/>
              </w:rPr>
              <w:t>REQUIRES VERIFICATION</w:t>
            </w:r>
            <w:r>
              <w:rPr>
                <w:sz w:val="19"/>
              </w:rPr>
              <w:t xml:space="preserve"> as a national UHM care provider — Queensland placement availability to be confirmed before referral</w:t>
            </w:r>
          </w:p>
        </w:tc>
      </w:tr>
    </w:tbl>
    <w:p w14:paraId="399ED744">
      <w:r>
        <w:br w:type="page"/>
      </w:r>
    </w:p>
    <w:p w14:paraId="47931DC4">
      <w:pPr>
        <w:pStyle w:val="2"/>
      </w:pPr>
      <w:r>
        <w:rPr>
          <w:color w:val="002B49"/>
        </w:rPr>
        <w:t>3. Services Australia – Multicultural Service Officers</w:t>
      </w:r>
    </w:p>
    <w:p w14:paraId="2B1F1A89">
      <w:pPr>
        <w:spacing w:before="0" w:after="120"/>
      </w:pPr>
      <w:r>
        <w:rPr>
          <w:b w:val="0"/>
          <w:i w:val="0"/>
          <w:sz w:val="21"/>
        </w:rPr>
        <w:t>Multicultural Service Officers (MSOs) work with multicultural community groups, staff and other government departments to:</w:t>
      </w:r>
    </w:p>
    <w:p w14:paraId="6CE3E83F">
      <w:pPr>
        <w:pStyle w:val="23"/>
        <w:spacing w:before="0" w:after="40"/>
      </w:pPr>
      <w:r>
        <w:rPr>
          <w:b w:val="0"/>
          <w:i w:val="0"/>
          <w:sz w:val="21"/>
        </w:rPr>
        <w:t>Promote and improve access to payments and services.</w:t>
      </w:r>
    </w:p>
    <w:p w14:paraId="46F20F66">
      <w:pPr>
        <w:pStyle w:val="23"/>
        <w:spacing w:before="0" w:after="40"/>
      </w:pPr>
      <w:r>
        <w:rPr>
          <w:b w:val="0"/>
          <w:i w:val="0"/>
          <w:sz w:val="21"/>
        </w:rPr>
        <w:t>Build relationships in the community and across government.</w:t>
      </w:r>
    </w:p>
    <w:p w14:paraId="136EB8EC">
      <w:pPr>
        <w:pStyle w:val="23"/>
        <w:spacing w:before="0" w:after="40"/>
      </w:pPr>
      <w:r>
        <w:rPr>
          <w:b w:val="0"/>
          <w:i w:val="0"/>
          <w:sz w:val="21"/>
        </w:rPr>
        <w:t>Improve service delivery to culturally and linguistically diverse (CALD) people by understanding their needs.</w:t>
      </w:r>
    </w:p>
    <w:p w14:paraId="161DD747">
      <w:pPr>
        <w:pStyle w:val="23"/>
        <w:spacing w:before="0" w:after="40"/>
      </w:pPr>
      <w:r>
        <w:rPr>
          <w:b w:val="0"/>
          <w:i w:val="0"/>
          <w:sz w:val="21"/>
        </w:rPr>
        <w:t>Provide support and assistance in complex cases.</w:t>
      </w:r>
    </w:p>
    <w:p w14:paraId="28ADDB80">
      <w:pPr>
        <w:pStyle w:val="23"/>
        <w:spacing w:before="0" w:after="40"/>
      </w:pPr>
      <w:r>
        <w:rPr>
          <w:b w:val="0"/>
          <w:i w:val="0"/>
          <w:sz w:val="21"/>
        </w:rPr>
        <w:t>Help staff to communicate with CALD people through language services.</w:t>
      </w:r>
    </w:p>
    <w:p w14:paraId="0B6F0C27">
      <w:pPr>
        <w:pStyle w:val="23"/>
        <w:spacing w:before="0" w:after="40"/>
      </w:pPr>
      <w:r>
        <w:rPr>
          <w:b w:val="0"/>
          <w:i w:val="0"/>
          <w:sz w:val="21"/>
        </w:rPr>
        <w:t>Raise awareness and competency of staff in servicing CALD people.</w:t>
      </w:r>
    </w:p>
    <w:p w14:paraId="332C7930">
      <w:pPr>
        <w:pStyle w:val="23"/>
        <w:spacing w:before="0" w:after="40"/>
      </w:pPr>
      <w:r>
        <w:rPr>
          <w:b w:val="0"/>
          <w:i w:val="0"/>
          <w:sz w:val="21"/>
        </w:rPr>
        <w:t>Build and maintain relationships with internal stakeholders to raise the profile of multicultural services.</w:t>
      </w:r>
    </w:p>
    <w:p w14:paraId="7F2EF1C7">
      <w:pPr>
        <w:pStyle w:val="3"/>
      </w:pPr>
      <w:r>
        <w:rPr>
          <w:color w:val="0066CC"/>
        </w:rPr>
        <w:t>3.1 Information Sessions</w:t>
      </w:r>
    </w:p>
    <w:p w14:paraId="08DE17EF">
      <w:pPr>
        <w:spacing w:before="0" w:after="120"/>
      </w:pPr>
      <w:r>
        <w:rPr>
          <w:b w:val="0"/>
          <w:i w:val="0"/>
          <w:sz w:val="21"/>
        </w:rPr>
        <w:t>Within the first 12 weeks of arrival, all customers are invited to attend information sessions. Topics covered include:</w:t>
      </w:r>
    </w:p>
    <w:p w14:paraId="1B185099">
      <w:pPr>
        <w:pStyle w:val="23"/>
        <w:spacing w:before="0" w:after="40"/>
      </w:pPr>
      <w:r>
        <w:rPr>
          <w:b w:val="0"/>
          <w:i w:val="0"/>
          <w:sz w:val="21"/>
        </w:rPr>
        <w:t>Centrelink payments, Medicare and child support payments and services.</w:t>
      </w:r>
    </w:p>
    <w:p w14:paraId="2FE5A620">
      <w:pPr>
        <w:pStyle w:val="23"/>
        <w:spacing w:before="0" w:after="40"/>
      </w:pPr>
      <w:r>
        <w:rPr>
          <w:b w:val="0"/>
          <w:i w:val="0"/>
          <w:sz w:val="21"/>
        </w:rPr>
        <w:t>Notification process for a change in circumstances within 14 days.</w:t>
      </w:r>
    </w:p>
    <w:p w14:paraId="14474408">
      <w:pPr>
        <w:pStyle w:val="23"/>
        <w:spacing w:before="0" w:after="40"/>
      </w:pPr>
      <w:r>
        <w:rPr>
          <w:b w:val="0"/>
          <w:i w:val="0"/>
          <w:sz w:val="21"/>
        </w:rPr>
        <w:t>Assistance in own language.</w:t>
      </w:r>
    </w:p>
    <w:p w14:paraId="4028519D">
      <w:pPr>
        <w:pStyle w:val="23"/>
        <w:spacing w:before="0" w:after="40"/>
      </w:pPr>
      <w:r>
        <w:rPr>
          <w:b w:val="0"/>
          <w:i w:val="0"/>
          <w:sz w:val="21"/>
        </w:rPr>
        <w:t>How to contact Services Australia.</w:t>
      </w:r>
    </w:p>
    <w:p w14:paraId="7E487922">
      <w:pPr>
        <w:pStyle w:val="23"/>
        <w:spacing w:before="0" w:after="40"/>
      </w:pPr>
      <w:r>
        <w:rPr>
          <w:b w:val="0"/>
          <w:i w:val="0"/>
          <w:sz w:val="21"/>
        </w:rPr>
        <w:t>Income reporting and Job Plans.</w:t>
      </w:r>
    </w:p>
    <w:p w14:paraId="61979468">
      <w:pPr>
        <w:pStyle w:val="23"/>
        <w:spacing w:before="0" w:after="40"/>
      </w:pPr>
      <w:r>
        <w:rPr>
          <w:b w:val="0"/>
          <w:i w:val="0"/>
          <w:sz w:val="21"/>
        </w:rPr>
        <w:t>Online services including myGov.</w:t>
      </w:r>
    </w:p>
    <w:p w14:paraId="358B31AD">
      <w:pPr>
        <w:pStyle w:val="23"/>
        <w:spacing w:before="0" w:after="40"/>
      </w:pPr>
      <w:r>
        <w:rPr>
          <w:b w:val="0"/>
          <w:i w:val="0"/>
          <w:sz w:val="21"/>
        </w:rPr>
        <w:t>Centrepay and scams.</w:t>
      </w:r>
    </w:p>
    <w:p w14:paraId="46D857D2">
      <w:pPr>
        <w:pStyle w:val="23"/>
        <w:spacing w:before="0" w:after="40"/>
      </w:pPr>
      <w:r>
        <w:rPr>
          <w:b w:val="0"/>
          <w:i w:val="0"/>
          <w:sz w:val="21"/>
        </w:rPr>
        <w:t>Other payments, concessions and help.</w:t>
      </w:r>
    </w:p>
    <w:p w14:paraId="33D20D30">
      <w:pPr>
        <w:pStyle w:val="3"/>
      </w:pPr>
      <w:r>
        <w:rPr>
          <w:color w:val="0066CC"/>
        </w:rPr>
        <w:t>3.2 Timelines</w:t>
      </w:r>
    </w:p>
    <w:p w14:paraId="1FB3459B">
      <w:pPr>
        <w:spacing w:before="0" w:after="120"/>
      </w:pPr>
      <w:r>
        <w:rPr>
          <w:b w:val="0"/>
          <w:i w:val="0"/>
          <w:sz w:val="21"/>
        </w:rPr>
        <w:t>The following timelines apply for newly arrived refugees across a 12-month period (national servicing approach; local session locations in the Brisbane South East Region to be confirmed with the local Service Centre and HSP provider):</w:t>
      </w:r>
    </w:p>
    <w:p w14:paraId="3CA87EAB">
      <w:pPr>
        <w:pStyle w:val="23"/>
        <w:spacing w:before="0" w:after="40"/>
      </w:pPr>
      <w:r>
        <w:rPr>
          <w:b w:val="0"/>
          <w:i w:val="0"/>
          <w:sz w:val="21"/>
        </w:rPr>
        <w:t>0–6 weeks: weekly myGov sessions for new arrivals, delivered in collaboration with the local HSP provider's bicultural workers. Voluntary participation.</w:t>
      </w:r>
    </w:p>
    <w:p w14:paraId="2DF8646F">
      <w:pPr>
        <w:pStyle w:val="23"/>
        <w:spacing w:before="0" w:after="40"/>
      </w:pPr>
      <w:r>
        <w:rPr>
          <w:b w:val="0"/>
          <w:i w:val="0"/>
          <w:sz w:val="21"/>
        </w:rPr>
        <w:t>8–10 weeks: Multicultural Service Officer information sessions. Voluntary participation.</w:t>
      </w:r>
    </w:p>
    <w:p w14:paraId="18B2DD22">
      <w:pPr>
        <w:pStyle w:val="23"/>
        <w:spacing w:before="0" w:after="40"/>
      </w:pPr>
      <w:r>
        <w:rPr>
          <w:b w:val="0"/>
          <w:i w:val="0"/>
          <w:sz w:val="21"/>
        </w:rPr>
        <w:t>At 12 weeks: an appointment is made for the customer to attend their local Services Australia service centre to negotiate a Job Plan and conduct their first reporting obligations. No referrals to other services at this stage. A customer can volunteer to be registered for Workforce Australia services at this time (if they meet eligibility criteria).</w:t>
      </w:r>
    </w:p>
    <w:p w14:paraId="2A007E75">
      <w:pPr>
        <w:pStyle w:val="23"/>
        <w:spacing w:before="0" w:after="40"/>
      </w:pPr>
      <w:r>
        <w:rPr>
          <w:b w:val="0"/>
          <w:i w:val="0"/>
          <w:sz w:val="21"/>
        </w:rPr>
        <w:t>12 weeks to 12 months: no job search required, but customers can volunteer to do this; participation in granted Refugee Approved Activities (RAC); participation in the Adult Migrant English Program (AMEP) if applicable; attendance at Services Australia and HSP provider appointments. Customers must commence reporting fortnightly after 12 weeks of arrival to receive their payments.</w:t>
      </w:r>
    </w:p>
    <w:p w14:paraId="6D550A7F">
      <w:pPr>
        <w:pStyle w:val="23"/>
        <w:spacing w:before="0" w:after="40"/>
      </w:pPr>
      <w:r>
        <w:rPr>
          <w:b w:val="0"/>
          <w:i w:val="0"/>
          <w:sz w:val="21"/>
        </w:rPr>
        <w:t>12 months and over: a face-to-face appointment is made for the customer to attend a Services Australia service centre in person. The customer is educated about mutual obligations and reporting requirements; the Jobseeker Snapshot is completed; based on responses, the customer is referred to a Workforce Australia provider or Workforce Australia Online (system generated). It is strongly encouraged that customers who speak English as a second language are referred to face-to-face servicing with a Workforce Australia provider. A new Job Plan is negotiated with Workforce Australia if the customer is referred.</w:t>
      </w:r>
    </w:p>
    <w:p w14:paraId="5114C8C4">
      <w:pPr>
        <w:pStyle w:val="3"/>
      </w:pPr>
      <w:r>
        <w:rPr>
          <w:color w:val="0066CC"/>
        </w:rPr>
        <w:t>3.3 Email Contact</w:t>
      </w:r>
    </w:p>
    <w:p w14:paraId="52CCAFBF">
      <w:pPr>
        <w:spacing w:before="0" w:after="120"/>
      </w:pPr>
      <w:r>
        <w:rPr>
          <w:b w:val="0"/>
          <w:i w:val="0"/>
          <w:sz w:val="21"/>
        </w:rPr>
        <w:t>To contact the Multicultural Service Officers for assistance, email: Qld.mso@servicesaustralia.gov.au (Queensland contact identified through local multicultural network listings — verification required before final publication).</w:t>
      </w:r>
    </w:p>
    <w:p w14:paraId="15CE11EB">
      <w:pPr>
        <w:pStyle w:val="4"/>
      </w:pPr>
      <w:r>
        <w:rPr>
          <w:color w:val="002B49"/>
        </w:rPr>
        <w:t>Services Australia — Stones Corner Service Centre (Multicultural Service Officers)</w:t>
      </w:r>
    </w:p>
    <w:tbl>
      <w:tblPr>
        <w:tblStyle w:val="3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30" w:type="dxa"/>
          <w:left w:w="80" w:type="dxa"/>
          <w:bottom w:w="30" w:type="dxa"/>
          <w:right w:w="80" w:type="dxa"/>
        </w:tblCellMar>
      </w:tblPr>
      <w:tblGrid>
        <w:gridCol w:w="4819"/>
        <w:gridCol w:w="4819"/>
      </w:tblGrid>
      <w:tr w14:paraId="124E7E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30" w:type="dxa"/>
            <w:left w:w="80" w:type="dxa"/>
            <w:bottom w:w="30" w:type="dxa"/>
            <w:right w:w="80" w:type="dxa"/>
          </w:tblCellMar>
        </w:tblPrEx>
        <w:tc>
          <w:tcPr>
            <w:tcW w:w="2494" w:type="dxa"/>
            <w:shd w:val="clear" w:color="auto" w:fill="E8F4FD"/>
          </w:tcPr>
          <w:p w14:paraId="36410AEB">
            <w:pPr>
              <w:spacing w:before="20" w:after="20" w:line="240" w:lineRule="auto"/>
            </w:pPr>
            <w:r>
              <w:rPr>
                <w:b/>
                <w:color w:val="002B49"/>
                <w:sz w:val="19"/>
              </w:rPr>
              <w:t>Organisation</w:t>
            </w:r>
          </w:p>
        </w:tc>
        <w:tc>
          <w:tcPr>
            <w:tcW w:w="7143" w:type="dxa"/>
          </w:tcPr>
          <w:p w14:paraId="15E49B96">
            <w:pPr>
              <w:spacing w:before="20" w:after="20" w:line="240" w:lineRule="auto"/>
            </w:pPr>
            <w:r>
              <w:rPr>
                <w:sz w:val="19"/>
              </w:rPr>
              <w:t>Services Australia</w:t>
            </w:r>
          </w:p>
        </w:tc>
      </w:tr>
      <w:tr w14:paraId="4102EB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30" w:type="dxa"/>
            <w:left w:w="80" w:type="dxa"/>
            <w:bottom w:w="30" w:type="dxa"/>
            <w:right w:w="80" w:type="dxa"/>
          </w:tblCellMar>
        </w:tblPrEx>
        <w:tc>
          <w:tcPr>
            <w:tcW w:w="2494" w:type="dxa"/>
            <w:shd w:val="clear" w:color="auto" w:fill="E8F4FD"/>
          </w:tcPr>
          <w:p w14:paraId="3E474D7C">
            <w:pPr>
              <w:spacing w:before="20" w:after="20" w:line="240" w:lineRule="auto"/>
            </w:pPr>
            <w:r>
              <w:rPr>
                <w:b/>
                <w:color w:val="002B49"/>
                <w:sz w:val="19"/>
              </w:rPr>
              <w:t>Program / Service</w:t>
            </w:r>
          </w:p>
        </w:tc>
        <w:tc>
          <w:tcPr>
            <w:tcW w:w="7143" w:type="dxa"/>
          </w:tcPr>
          <w:p w14:paraId="705B4C44">
            <w:pPr>
              <w:spacing w:before="20" w:after="20" w:line="240" w:lineRule="auto"/>
            </w:pPr>
            <w:r>
              <w:rPr>
                <w:sz w:val="19"/>
              </w:rPr>
              <w:t>Multicultural Service Officers (MSO) Program — face-to-face access point</w:t>
            </w:r>
          </w:p>
        </w:tc>
      </w:tr>
      <w:tr w14:paraId="5355ED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30" w:type="dxa"/>
            <w:left w:w="80" w:type="dxa"/>
            <w:bottom w:w="30" w:type="dxa"/>
            <w:right w:w="80" w:type="dxa"/>
          </w:tblCellMar>
        </w:tblPrEx>
        <w:tc>
          <w:tcPr>
            <w:tcW w:w="2494" w:type="dxa"/>
            <w:shd w:val="clear" w:color="auto" w:fill="E8F4FD"/>
          </w:tcPr>
          <w:p w14:paraId="62DD89B4">
            <w:pPr>
              <w:spacing w:before="20" w:after="20" w:line="240" w:lineRule="auto"/>
            </w:pPr>
            <w:r>
              <w:rPr>
                <w:b/>
                <w:color w:val="002B49"/>
                <w:sz w:val="19"/>
              </w:rPr>
              <w:t>Service Description</w:t>
            </w:r>
          </w:p>
        </w:tc>
        <w:tc>
          <w:tcPr>
            <w:tcW w:w="7143" w:type="dxa"/>
          </w:tcPr>
          <w:p w14:paraId="2A33FBA0">
            <w:pPr>
              <w:spacing w:before="20" w:after="20" w:line="240" w:lineRule="auto"/>
            </w:pPr>
            <w:r>
              <w:rPr>
                <w:sz w:val="19"/>
              </w:rPr>
              <w:t>MSOs help migrant and refugee communities understand and access government payments and services, support complex cases, improve CALD access and connect clients with language services.</w:t>
            </w:r>
          </w:p>
        </w:tc>
      </w:tr>
      <w:tr w14:paraId="5CA371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30" w:type="dxa"/>
            <w:left w:w="80" w:type="dxa"/>
            <w:bottom w:w="30" w:type="dxa"/>
            <w:right w:w="80" w:type="dxa"/>
          </w:tblCellMar>
        </w:tblPrEx>
        <w:tc>
          <w:tcPr>
            <w:tcW w:w="2494" w:type="dxa"/>
            <w:shd w:val="clear" w:color="auto" w:fill="E8F4FD"/>
          </w:tcPr>
          <w:p w14:paraId="4175D76C">
            <w:pPr>
              <w:spacing w:before="20" w:after="20" w:line="240" w:lineRule="auto"/>
            </w:pPr>
            <w:r>
              <w:rPr>
                <w:b/>
                <w:color w:val="002B49"/>
                <w:sz w:val="19"/>
              </w:rPr>
              <w:t>Address</w:t>
            </w:r>
          </w:p>
        </w:tc>
        <w:tc>
          <w:tcPr>
            <w:tcW w:w="7143" w:type="dxa"/>
          </w:tcPr>
          <w:p w14:paraId="4467404A">
            <w:pPr>
              <w:spacing w:before="20" w:after="20" w:line="240" w:lineRule="auto"/>
            </w:pPr>
            <w:r>
              <w:rPr>
                <w:sz w:val="19"/>
              </w:rPr>
              <w:t>357 Logan Road, Stones Corner QLD 4120</w:t>
            </w:r>
          </w:p>
        </w:tc>
      </w:tr>
      <w:tr w14:paraId="00963A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30" w:type="dxa"/>
            <w:left w:w="80" w:type="dxa"/>
            <w:bottom w:w="30" w:type="dxa"/>
            <w:right w:w="80" w:type="dxa"/>
          </w:tblCellMar>
        </w:tblPrEx>
        <w:tc>
          <w:tcPr>
            <w:tcW w:w="2494" w:type="dxa"/>
            <w:shd w:val="clear" w:color="auto" w:fill="E8F4FD"/>
          </w:tcPr>
          <w:p w14:paraId="6029D572">
            <w:pPr>
              <w:spacing w:before="20" w:after="20" w:line="240" w:lineRule="auto"/>
            </w:pPr>
            <w:r>
              <w:rPr>
                <w:b/>
                <w:color w:val="002B49"/>
                <w:sz w:val="19"/>
              </w:rPr>
              <w:t>Phone</w:t>
            </w:r>
          </w:p>
        </w:tc>
        <w:tc>
          <w:tcPr>
            <w:tcW w:w="7143" w:type="dxa"/>
          </w:tcPr>
          <w:p w14:paraId="2F1596C2">
            <w:pPr>
              <w:spacing w:before="20" w:after="20" w:line="240" w:lineRule="auto"/>
            </w:pPr>
            <w:r>
              <w:rPr>
                <w:sz w:val="19"/>
              </w:rPr>
              <w:t>132 468 (Services Australia)</w:t>
            </w:r>
          </w:p>
        </w:tc>
      </w:tr>
      <w:tr w14:paraId="5272E3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30" w:type="dxa"/>
            <w:left w:w="80" w:type="dxa"/>
            <w:bottom w:w="30" w:type="dxa"/>
            <w:right w:w="80" w:type="dxa"/>
          </w:tblCellMar>
        </w:tblPrEx>
        <w:tc>
          <w:tcPr>
            <w:tcW w:w="2494" w:type="dxa"/>
            <w:shd w:val="clear" w:color="auto" w:fill="E8F4FD"/>
          </w:tcPr>
          <w:p w14:paraId="4BF02E65">
            <w:pPr>
              <w:spacing w:before="20" w:after="20" w:line="240" w:lineRule="auto"/>
            </w:pPr>
            <w:r>
              <w:rPr>
                <w:b/>
                <w:color w:val="002B49"/>
                <w:sz w:val="19"/>
              </w:rPr>
              <w:t>Website</w:t>
            </w:r>
          </w:p>
        </w:tc>
        <w:tc>
          <w:tcPr>
            <w:tcW w:w="7143" w:type="dxa"/>
          </w:tcPr>
          <w:p w14:paraId="4D1736C0">
            <w:pPr>
              <w:spacing w:before="20" w:after="20" w:line="240" w:lineRule="auto"/>
            </w:pPr>
            <w:r>
              <w:fldChar w:fldCharType="begin"/>
            </w:r>
            <w:r>
              <w:instrText xml:space="preserve"> HYPERLINK "https://www.servicesaustralia.gov.au" \h </w:instrText>
            </w:r>
            <w:r>
              <w:fldChar w:fldCharType="separate"/>
            </w:r>
            <w:r>
              <w:rPr>
                <w:rFonts w:ascii="Calibri" w:hAnsi="Calibri"/>
                <w:color w:val="0066CC"/>
                <w:sz w:val="19"/>
                <w:u w:val="single"/>
              </w:rPr>
              <w:t>https://www.servicesaustralia.gov.au</w:t>
            </w:r>
            <w:r>
              <w:rPr>
                <w:rFonts w:ascii="Calibri" w:hAnsi="Calibri"/>
                <w:color w:val="0066CC"/>
                <w:sz w:val="19"/>
                <w:u w:val="single"/>
              </w:rPr>
              <w:fldChar w:fldCharType="end"/>
            </w:r>
            <w:r>
              <w:rPr>
                <w:sz w:val="19"/>
              </w:rPr>
              <w:t xml:space="preserve"> (service centre locator)</w:t>
            </w:r>
          </w:p>
        </w:tc>
      </w:tr>
      <w:tr w14:paraId="72A9F8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30" w:type="dxa"/>
            <w:left w:w="80" w:type="dxa"/>
            <w:bottom w:w="30" w:type="dxa"/>
            <w:right w:w="80" w:type="dxa"/>
          </w:tblCellMar>
        </w:tblPrEx>
        <w:tc>
          <w:tcPr>
            <w:tcW w:w="2494" w:type="dxa"/>
            <w:shd w:val="clear" w:color="auto" w:fill="E8F4FD"/>
          </w:tcPr>
          <w:p w14:paraId="37DA071C">
            <w:pPr>
              <w:spacing w:before="20" w:after="20" w:line="240" w:lineRule="auto"/>
            </w:pPr>
            <w:r>
              <w:rPr>
                <w:b/>
                <w:color w:val="002B49"/>
                <w:sz w:val="19"/>
              </w:rPr>
              <w:t>Coverage</w:t>
            </w:r>
          </w:p>
        </w:tc>
        <w:tc>
          <w:tcPr>
            <w:tcW w:w="7143" w:type="dxa"/>
          </w:tcPr>
          <w:p w14:paraId="4B970109">
            <w:pPr>
              <w:spacing w:before="20" w:after="20" w:line="240" w:lineRule="auto"/>
            </w:pPr>
            <w:r>
              <w:rPr>
                <w:sz w:val="19"/>
              </w:rPr>
              <w:t>Stones Corner, Greenslopes, Holland Park, Woolloongabba and the Brisbane South East catchment</w:t>
            </w:r>
          </w:p>
        </w:tc>
      </w:tr>
      <w:tr w14:paraId="71D7FF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30" w:type="dxa"/>
            <w:left w:w="80" w:type="dxa"/>
            <w:bottom w:w="30" w:type="dxa"/>
            <w:right w:w="80" w:type="dxa"/>
          </w:tblCellMar>
        </w:tblPrEx>
        <w:tc>
          <w:tcPr>
            <w:tcW w:w="2494" w:type="dxa"/>
            <w:shd w:val="clear" w:color="auto" w:fill="E8F4FD"/>
          </w:tcPr>
          <w:p w14:paraId="087DA3EA">
            <w:pPr>
              <w:spacing w:before="20" w:after="20" w:line="240" w:lineRule="auto"/>
            </w:pPr>
            <w:r>
              <w:rPr>
                <w:b/>
                <w:color w:val="002B49"/>
                <w:sz w:val="19"/>
              </w:rPr>
              <w:t>Referral / Intake</w:t>
            </w:r>
          </w:p>
        </w:tc>
        <w:tc>
          <w:tcPr>
            <w:tcW w:w="7143" w:type="dxa"/>
          </w:tcPr>
          <w:p w14:paraId="3B1C4053">
            <w:pPr>
              <w:spacing w:before="20" w:after="20" w:line="240" w:lineRule="auto"/>
            </w:pPr>
            <w:r>
              <w:rPr>
                <w:sz w:val="19"/>
              </w:rPr>
              <w:t>Walk-in service centre, appointment, phone contact and community referrals</w:t>
            </w:r>
          </w:p>
        </w:tc>
      </w:tr>
      <w:tr w14:paraId="5A663A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30" w:type="dxa"/>
            <w:left w:w="80" w:type="dxa"/>
            <w:bottom w:w="30" w:type="dxa"/>
            <w:right w:w="80" w:type="dxa"/>
          </w:tblCellMar>
        </w:tblPrEx>
        <w:tc>
          <w:tcPr>
            <w:tcW w:w="2494" w:type="dxa"/>
            <w:shd w:val="clear" w:color="auto" w:fill="E8F4FD"/>
          </w:tcPr>
          <w:p w14:paraId="4D8375DE">
            <w:pPr>
              <w:spacing w:before="20" w:after="20" w:line="240" w:lineRule="auto"/>
            </w:pPr>
            <w:r>
              <w:rPr>
                <w:b/>
                <w:color w:val="002B49"/>
                <w:sz w:val="19"/>
              </w:rPr>
              <w:t>Self-Referral</w:t>
            </w:r>
          </w:p>
        </w:tc>
        <w:tc>
          <w:tcPr>
            <w:tcW w:w="7143" w:type="dxa"/>
          </w:tcPr>
          <w:p w14:paraId="4EB3AAD5">
            <w:pPr>
              <w:spacing w:before="20" w:after="20" w:line="240" w:lineRule="auto"/>
            </w:pPr>
            <w:r>
              <w:rPr>
                <w:sz w:val="19"/>
              </w:rPr>
              <w:t>Yes</w:t>
            </w:r>
          </w:p>
        </w:tc>
      </w:tr>
      <w:tr w14:paraId="2F6886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30" w:type="dxa"/>
            <w:left w:w="80" w:type="dxa"/>
            <w:bottom w:w="30" w:type="dxa"/>
            <w:right w:w="80" w:type="dxa"/>
          </w:tblCellMar>
        </w:tblPrEx>
        <w:tc>
          <w:tcPr>
            <w:tcW w:w="2494" w:type="dxa"/>
            <w:shd w:val="clear" w:color="auto" w:fill="E8F4FD"/>
          </w:tcPr>
          <w:p w14:paraId="746DA6F2">
            <w:pPr>
              <w:spacing w:before="20" w:after="20" w:line="240" w:lineRule="auto"/>
            </w:pPr>
            <w:r>
              <w:rPr>
                <w:b/>
                <w:color w:val="002B49"/>
                <w:sz w:val="19"/>
              </w:rPr>
              <w:t>Cost</w:t>
            </w:r>
          </w:p>
        </w:tc>
        <w:tc>
          <w:tcPr>
            <w:tcW w:w="7143" w:type="dxa"/>
          </w:tcPr>
          <w:p w14:paraId="2DDF3428">
            <w:pPr>
              <w:spacing w:before="20" w:after="20" w:line="240" w:lineRule="auto"/>
            </w:pPr>
            <w:r>
              <w:rPr>
                <w:sz w:val="19"/>
              </w:rPr>
              <w:t>Free</w:t>
            </w:r>
          </w:p>
        </w:tc>
      </w:tr>
      <w:tr w14:paraId="0889B8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30" w:type="dxa"/>
            <w:left w:w="80" w:type="dxa"/>
            <w:bottom w:w="30" w:type="dxa"/>
            <w:right w:w="80" w:type="dxa"/>
          </w:tblCellMar>
        </w:tblPrEx>
        <w:tc>
          <w:tcPr>
            <w:tcW w:w="2494" w:type="dxa"/>
            <w:shd w:val="clear" w:color="auto" w:fill="E8F4FD"/>
          </w:tcPr>
          <w:p w14:paraId="5AF4C001">
            <w:pPr>
              <w:spacing w:before="20" w:after="20" w:line="240" w:lineRule="auto"/>
            </w:pPr>
            <w:r>
              <w:rPr>
                <w:b/>
                <w:color w:val="002B49"/>
                <w:sz w:val="19"/>
              </w:rPr>
              <w:t>Languages / Interpreters</w:t>
            </w:r>
          </w:p>
        </w:tc>
        <w:tc>
          <w:tcPr>
            <w:tcW w:w="7143" w:type="dxa"/>
          </w:tcPr>
          <w:p w14:paraId="119B0193">
            <w:pPr>
              <w:spacing w:before="20" w:after="20" w:line="240" w:lineRule="auto"/>
            </w:pPr>
            <w:r>
              <w:rPr>
                <w:sz w:val="19"/>
              </w:rPr>
              <w:t>Interpreter services available; multilingual Centrelink services available</w:t>
            </w:r>
          </w:p>
        </w:tc>
      </w:tr>
      <w:tr w14:paraId="437E73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30" w:type="dxa"/>
            <w:left w:w="80" w:type="dxa"/>
            <w:bottom w:w="30" w:type="dxa"/>
            <w:right w:w="80" w:type="dxa"/>
          </w:tblCellMar>
        </w:tblPrEx>
        <w:tc>
          <w:tcPr>
            <w:tcW w:w="2494" w:type="dxa"/>
            <w:shd w:val="clear" w:color="auto" w:fill="E8F4FD"/>
          </w:tcPr>
          <w:p w14:paraId="39DFE65A">
            <w:pPr>
              <w:spacing w:before="20" w:after="20" w:line="240" w:lineRule="auto"/>
            </w:pPr>
            <w:r>
              <w:rPr>
                <w:b/>
                <w:color w:val="002B49"/>
                <w:sz w:val="19"/>
              </w:rPr>
              <w:t>Verification Status</w:t>
            </w:r>
          </w:p>
        </w:tc>
        <w:tc>
          <w:tcPr>
            <w:tcW w:w="7143" w:type="dxa"/>
          </w:tcPr>
          <w:p w14:paraId="4A039F31">
            <w:pPr>
              <w:spacing w:before="20" w:after="20" w:line="240" w:lineRule="auto"/>
            </w:pPr>
            <w:r>
              <w:rPr>
                <w:sz w:val="19"/>
                <w:lang w:val="en-US"/>
              </w:rPr>
              <w:t>REQUIRES VERIFICATION</w:t>
            </w:r>
            <w:r>
              <w:rPr>
                <w:sz w:val="19"/>
              </w:rPr>
              <w:t xml:space="preserve"> physical location and MSO program connection (government locator and environmental scan)</w:t>
            </w:r>
          </w:p>
        </w:tc>
      </w:tr>
      <w:tr w14:paraId="307E85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30" w:type="dxa"/>
            <w:left w:w="80" w:type="dxa"/>
            <w:bottom w:w="30" w:type="dxa"/>
            <w:right w:w="80" w:type="dxa"/>
          </w:tblCellMar>
        </w:tblPrEx>
        <w:tc>
          <w:tcPr>
            <w:tcW w:w="2494" w:type="dxa"/>
            <w:shd w:val="clear" w:color="auto" w:fill="E8F4FD"/>
          </w:tcPr>
          <w:p w14:paraId="7B1F5244">
            <w:pPr>
              <w:spacing w:before="20" w:after="20" w:line="240" w:lineRule="auto"/>
            </w:pPr>
            <w:r>
              <w:rPr>
                <w:b/>
                <w:color w:val="002B49"/>
                <w:sz w:val="19"/>
              </w:rPr>
              <w:t>Notes</w:t>
            </w:r>
          </w:p>
        </w:tc>
        <w:tc>
          <w:tcPr>
            <w:tcW w:w="7143" w:type="dxa"/>
          </w:tcPr>
          <w:p w14:paraId="0B48C29C">
            <w:pPr>
              <w:spacing w:before="20" w:after="20" w:line="240" w:lineRule="auto"/>
            </w:pPr>
            <w:r>
              <w:rPr>
                <w:sz w:val="19"/>
              </w:rPr>
              <w:t>Other Services Australia service centres operate across the region; confirm the nearest centre via the Services Australia locator. A general public MSO email for this centre was not identified in the source material.</w:t>
            </w:r>
          </w:p>
        </w:tc>
      </w:tr>
    </w:tbl>
    <w:p w14:paraId="1BBFA594">
      <w:pPr>
        <w:spacing w:before="0" w:after="120"/>
      </w:pPr>
      <w:r>
        <w:rPr>
          <w:b w:val="0"/>
          <w:i w:val="0"/>
          <w:sz w:val="21"/>
        </w:rPr>
        <w:t>See ATTACHMENT B for Services Australia resources.</w:t>
      </w:r>
    </w:p>
    <w:p w14:paraId="202C4B54">
      <w:r>
        <w:br w:type="page"/>
      </w:r>
    </w:p>
    <w:p w14:paraId="0FF4A848">
      <w:pPr>
        <w:pStyle w:val="2"/>
      </w:pPr>
      <w:r>
        <w:rPr>
          <w:color w:val="002B49"/>
        </w:rPr>
        <w:t>4. Settlement Engagement and Transition Support (SETS)</w:t>
      </w:r>
    </w:p>
    <w:p w14:paraId="7831F03B">
      <w:pPr>
        <w:spacing w:before="0" w:after="120"/>
      </w:pPr>
      <w:r>
        <w:rPr>
          <w:b w:val="0"/>
          <w:i w:val="0"/>
          <w:sz w:val="21"/>
        </w:rPr>
        <w:t>The SETS program aims to equip and empower humanitarian entrants, other eligible permanent migrants and their communities to address their settlement needs. It focuses on improving social participation, economic wellbeing, independence, personal wellbeing and community connectedness (Department of Home Affairs).</w:t>
      </w:r>
    </w:p>
    <w:p w14:paraId="42AC9BB4">
      <w:pPr>
        <w:spacing w:before="0" w:after="120"/>
      </w:pPr>
      <w:r>
        <w:rPr>
          <w:b w:val="0"/>
          <w:i w:val="0"/>
          <w:sz w:val="21"/>
        </w:rPr>
        <w:t>The program fills an important gap in the post-arrival period for eligible clients who do not have family and other community supports to rely on. It is complementary to the Humanitarian Settlement Program (HSP) and other Commonwealth support. All refugee and humanitarian entrants are eligible to receive SETS services once they exit the HSP. SETS providers also receive eligible referrals from other mainstream and community organisations.</w:t>
      </w:r>
    </w:p>
    <w:p w14:paraId="07BBE026">
      <w:pPr>
        <w:spacing w:before="0" w:after="120"/>
      </w:pPr>
      <w:r>
        <w:rPr>
          <w:b w:val="0"/>
          <w:i w:val="0"/>
          <w:sz w:val="21"/>
        </w:rPr>
        <w:t>SETS can also refer a client back to HSP providers for SIS servicing if their needs are complex.</w:t>
      </w:r>
    </w:p>
    <w:p w14:paraId="7E1A643F">
      <w:pPr>
        <w:pStyle w:val="3"/>
      </w:pPr>
      <w:r>
        <w:rPr>
          <w:color w:val="0066CC"/>
        </w:rPr>
        <w:t>4.1 Types of Services and Support</w:t>
      </w:r>
    </w:p>
    <w:p w14:paraId="246FF6C2">
      <w:pPr>
        <w:spacing w:before="0" w:after="120"/>
      </w:pPr>
      <w:r>
        <w:rPr>
          <w:b w:val="0"/>
          <w:i w:val="0"/>
          <w:sz w:val="21"/>
        </w:rPr>
        <w:t>SETS provides clients with settlement-related information, advice, advocacy and help to use mainstream and other relevant services. The program tailors services to client issues, which may vary and change across locations, cohorts and during each client's settlement journey. Types of activities and deliverables include:</w:t>
      </w:r>
    </w:p>
    <w:p w14:paraId="00E2FA18">
      <w:pPr>
        <w:pStyle w:val="23"/>
        <w:spacing w:before="0" w:after="40"/>
      </w:pPr>
      <w:r>
        <w:rPr>
          <w:b w:val="0"/>
          <w:i w:val="0"/>
          <w:sz w:val="21"/>
        </w:rPr>
        <w:t>Individual low or medium-intensity case management.</w:t>
      </w:r>
    </w:p>
    <w:p w14:paraId="73C015C5">
      <w:pPr>
        <w:pStyle w:val="23"/>
        <w:spacing w:before="0" w:after="40"/>
      </w:pPr>
      <w:r>
        <w:rPr>
          <w:b w:val="0"/>
          <w:i w:val="0"/>
          <w:sz w:val="21"/>
        </w:rPr>
        <w:t>Group sessions.</w:t>
      </w:r>
    </w:p>
    <w:p w14:paraId="3FB411F9">
      <w:pPr>
        <w:pStyle w:val="23"/>
        <w:spacing w:before="0" w:after="40"/>
      </w:pPr>
      <w:r>
        <w:rPr>
          <w:b w:val="0"/>
          <w:i w:val="0"/>
          <w:sz w:val="21"/>
        </w:rPr>
        <w:t>Sector collaboration.</w:t>
      </w:r>
    </w:p>
    <w:p w14:paraId="5DB18C44">
      <w:pPr>
        <w:pStyle w:val="23"/>
        <w:spacing w:before="0" w:after="40"/>
      </w:pPr>
      <w:r>
        <w:rPr>
          <w:b w:val="0"/>
          <w:i w:val="0"/>
          <w:sz w:val="21"/>
        </w:rPr>
        <w:t>Community capacity building.</w:t>
      </w:r>
    </w:p>
    <w:p w14:paraId="39B2E940">
      <w:pPr>
        <w:pStyle w:val="3"/>
      </w:pPr>
      <w:r>
        <w:rPr>
          <w:color w:val="0066CC"/>
        </w:rPr>
        <w:t>4.2 Facilitating Domains and SETS Activities</w:t>
      </w:r>
    </w:p>
    <w:p w14:paraId="010107CA">
      <w:pPr>
        <w:spacing w:before="0" w:after="120"/>
      </w:pPr>
      <w:r>
        <w:rPr>
          <w:b w:val="0"/>
          <w:i w:val="0"/>
          <w:sz w:val="21"/>
        </w:rPr>
        <w:t>The Department of Home Affairs has developed the Refugee and Humanitarian Entrant Settlement and Integration Outcomes Framework (the Framework) to articulate Australia's vision of successful settlement and integration. The Framework comprises eleven interrelated domains and two underpinning principles. The key focus for SETS providers is to build self-agency and self-efficacy in SETS participants. SETS is a flexible program, with services tailored to need.</w:t>
      </w:r>
    </w:p>
    <w:tbl>
      <w:tblPr>
        <w:tblStyle w:val="35"/>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0" w:type="dxa"/>
          <w:left w:w="80" w:type="dxa"/>
          <w:bottom w:w="40" w:type="dxa"/>
          <w:right w:w="80" w:type="dxa"/>
        </w:tblCellMar>
      </w:tblPr>
      <w:tblGrid>
        <w:gridCol w:w="4819"/>
        <w:gridCol w:w="4819"/>
      </w:tblGrid>
      <w:tr w14:paraId="54A15A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40" w:type="dxa"/>
            <w:left w:w="80" w:type="dxa"/>
            <w:bottom w:w="40" w:type="dxa"/>
            <w:right w:w="80" w:type="dxa"/>
          </w:tblCellMar>
        </w:tblPrEx>
        <w:trPr>
          <w:tblHeader/>
          <w:jc w:val="center"/>
        </w:trPr>
        <w:tc>
          <w:tcPr>
            <w:tcW w:w="5386" w:type="dxa"/>
            <w:shd w:val="clear" w:color="auto" w:fill="002B49"/>
          </w:tcPr>
          <w:p w14:paraId="6C3889B4">
            <w:pPr>
              <w:spacing w:before="40" w:after="40" w:line="240" w:lineRule="auto"/>
            </w:pPr>
            <w:r>
              <w:rPr>
                <w:b/>
                <w:color w:val="FFFFFF"/>
                <w:sz w:val="19"/>
              </w:rPr>
              <w:t>Domains</w:t>
            </w:r>
          </w:p>
        </w:tc>
        <w:tc>
          <w:tcPr>
            <w:tcW w:w="3969" w:type="dxa"/>
            <w:shd w:val="clear" w:color="auto" w:fill="002B49"/>
          </w:tcPr>
          <w:p w14:paraId="7B3E279B">
            <w:pPr>
              <w:spacing w:before="40" w:after="40" w:line="240" w:lineRule="auto"/>
            </w:pPr>
            <w:r>
              <w:rPr>
                <w:b/>
                <w:color w:val="FFFFFF"/>
                <w:sz w:val="19"/>
              </w:rPr>
              <w:t>Principles</w:t>
            </w:r>
          </w:p>
        </w:tc>
      </w:tr>
      <w:tr w14:paraId="5F48AD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40" w:type="dxa"/>
            <w:left w:w="80" w:type="dxa"/>
            <w:bottom w:w="40" w:type="dxa"/>
            <w:right w:w="80" w:type="dxa"/>
          </w:tblCellMar>
        </w:tblPrEx>
        <w:trPr>
          <w:jc w:val="center"/>
        </w:trPr>
        <w:tc>
          <w:tcPr>
            <w:tcW w:w="5386" w:type="dxa"/>
            <w:shd w:val="clear" w:color="auto" w:fill="F5F9FC"/>
          </w:tcPr>
          <w:p w14:paraId="58BC27FB">
            <w:pPr>
              <w:spacing w:before="40" w:after="40" w:line="240" w:lineRule="auto"/>
            </w:pPr>
            <w:r>
              <w:rPr>
                <w:sz w:val="19"/>
              </w:rPr>
              <w:t>Language and digital literacy</w:t>
            </w:r>
          </w:p>
        </w:tc>
        <w:tc>
          <w:tcPr>
            <w:tcW w:w="3969" w:type="dxa"/>
          </w:tcPr>
          <w:p w14:paraId="19D53262">
            <w:pPr>
              <w:spacing w:before="40" w:after="40" w:line="240" w:lineRule="auto"/>
            </w:pPr>
            <w:r>
              <w:rPr>
                <w:sz w:val="19"/>
              </w:rPr>
              <w:t>Self-Agency</w:t>
            </w:r>
          </w:p>
        </w:tc>
      </w:tr>
      <w:tr w14:paraId="6CD53C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40" w:type="dxa"/>
            <w:left w:w="80" w:type="dxa"/>
            <w:bottom w:w="40" w:type="dxa"/>
            <w:right w:w="80" w:type="dxa"/>
          </w:tblCellMar>
        </w:tblPrEx>
        <w:trPr>
          <w:jc w:val="center"/>
        </w:trPr>
        <w:tc>
          <w:tcPr>
            <w:tcW w:w="5386" w:type="dxa"/>
            <w:shd w:val="clear" w:color="auto" w:fill="F5F9FC"/>
          </w:tcPr>
          <w:p w14:paraId="257DCB18">
            <w:pPr>
              <w:spacing w:before="40" w:after="40" w:line="240" w:lineRule="auto"/>
            </w:pPr>
            <w:r>
              <w:rPr>
                <w:sz w:val="19"/>
              </w:rPr>
              <w:t>Understanding host culture</w:t>
            </w:r>
          </w:p>
        </w:tc>
        <w:tc>
          <w:tcPr>
            <w:tcW w:w="3969" w:type="dxa"/>
          </w:tcPr>
          <w:p w14:paraId="533E2528">
            <w:pPr>
              <w:spacing w:before="40" w:after="40" w:line="240" w:lineRule="auto"/>
            </w:pPr>
            <w:r>
              <w:rPr>
                <w:sz w:val="19"/>
              </w:rPr>
              <w:t>Self-Efficacy</w:t>
            </w:r>
          </w:p>
        </w:tc>
      </w:tr>
      <w:tr w14:paraId="1F5E0C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40" w:type="dxa"/>
            <w:left w:w="80" w:type="dxa"/>
            <w:bottom w:w="40" w:type="dxa"/>
            <w:right w:w="80" w:type="dxa"/>
          </w:tblCellMar>
        </w:tblPrEx>
        <w:trPr>
          <w:jc w:val="center"/>
        </w:trPr>
        <w:tc>
          <w:tcPr>
            <w:tcW w:w="5386" w:type="dxa"/>
            <w:shd w:val="clear" w:color="auto" w:fill="F5F9FC"/>
          </w:tcPr>
          <w:p w14:paraId="7FDD6E52">
            <w:pPr>
              <w:spacing w:before="40" w:after="40" w:line="240" w:lineRule="auto"/>
            </w:pPr>
            <w:r>
              <w:rPr>
                <w:sz w:val="19"/>
              </w:rPr>
              <w:t>Economic participation</w:t>
            </w:r>
          </w:p>
        </w:tc>
        <w:tc>
          <w:tcPr>
            <w:tcW w:w="3969" w:type="dxa"/>
          </w:tcPr>
          <w:p w14:paraId="649E4595">
            <w:pPr>
              <w:spacing w:before="40" w:after="40" w:line="240" w:lineRule="auto"/>
            </w:pPr>
          </w:p>
        </w:tc>
      </w:tr>
      <w:tr w14:paraId="330E1C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40" w:type="dxa"/>
            <w:left w:w="80" w:type="dxa"/>
            <w:bottom w:w="40" w:type="dxa"/>
            <w:right w:w="80" w:type="dxa"/>
          </w:tblCellMar>
        </w:tblPrEx>
        <w:trPr>
          <w:jc w:val="center"/>
        </w:trPr>
        <w:tc>
          <w:tcPr>
            <w:tcW w:w="5386" w:type="dxa"/>
            <w:shd w:val="clear" w:color="auto" w:fill="F5F9FC"/>
          </w:tcPr>
          <w:p w14:paraId="3BEDE1F8">
            <w:pPr>
              <w:spacing w:before="40" w:after="40" w:line="240" w:lineRule="auto"/>
            </w:pPr>
            <w:r>
              <w:rPr>
                <w:sz w:val="19"/>
              </w:rPr>
              <w:t>Health and wellbeing</w:t>
            </w:r>
          </w:p>
        </w:tc>
        <w:tc>
          <w:tcPr>
            <w:tcW w:w="3969" w:type="dxa"/>
          </w:tcPr>
          <w:p w14:paraId="449F4105">
            <w:pPr>
              <w:spacing w:before="40" w:after="40" w:line="240" w:lineRule="auto"/>
            </w:pPr>
          </w:p>
        </w:tc>
      </w:tr>
      <w:tr w14:paraId="207B01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40" w:type="dxa"/>
            <w:left w:w="80" w:type="dxa"/>
            <w:bottom w:w="40" w:type="dxa"/>
            <w:right w:w="80" w:type="dxa"/>
          </w:tblCellMar>
        </w:tblPrEx>
        <w:trPr>
          <w:jc w:val="center"/>
        </w:trPr>
        <w:tc>
          <w:tcPr>
            <w:tcW w:w="5386" w:type="dxa"/>
            <w:shd w:val="clear" w:color="auto" w:fill="F5F9FC"/>
          </w:tcPr>
          <w:p w14:paraId="380C59DE">
            <w:pPr>
              <w:spacing w:before="40" w:after="40" w:line="240" w:lineRule="auto"/>
            </w:pPr>
            <w:r>
              <w:rPr>
                <w:sz w:val="19"/>
              </w:rPr>
              <w:t>Housing and transport</w:t>
            </w:r>
          </w:p>
        </w:tc>
        <w:tc>
          <w:tcPr>
            <w:tcW w:w="3969" w:type="dxa"/>
          </w:tcPr>
          <w:p w14:paraId="4F4CAE9E">
            <w:pPr>
              <w:spacing w:before="40" w:after="40" w:line="240" w:lineRule="auto"/>
            </w:pPr>
          </w:p>
        </w:tc>
      </w:tr>
      <w:tr w14:paraId="4CC6AB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40" w:type="dxa"/>
            <w:left w:w="80" w:type="dxa"/>
            <w:bottom w:w="40" w:type="dxa"/>
            <w:right w:w="80" w:type="dxa"/>
          </w:tblCellMar>
        </w:tblPrEx>
        <w:trPr>
          <w:jc w:val="center"/>
        </w:trPr>
        <w:tc>
          <w:tcPr>
            <w:tcW w:w="5386" w:type="dxa"/>
            <w:shd w:val="clear" w:color="auto" w:fill="F5F9FC"/>
          </w:tcPr>
          <w:p w14:paraId="2D531833">
            <w:pPr>
              <w:spacing w:before="40" w:after="40" w:line="240" w:lineRule="auto"/>
            </w:pPr>
            <w:r>
              <w:rPr>
                <w:sz w:val="19"/>
              </w:rPr>
              <w:t>Education</w:t>
            </w:r>
          </w:p>
        </w:tc>
        <w:tc>
          <w:tcPr>
            <w:tcW w:w="3969" w:type="dxa"/>
          </w:tcPr>
          <w:p w14:paraId="028F4482">
            <w:pPr>
              <w:spacing w:before="40" w:after="40" w:line="240" w:lineRule="auto"/>
            </w:pPr>
          </w:p>
        </w:tc>
      </w:tr>
      <w:tr w14:paraId="0082B2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40" w:type="dxa"/>
            <w:left w:w="80" w:type="dxa"/>
            <w:bottom w:w="40" w:type="dxa"/>
            <w:right w:w="80" w:type="dxa"/>
          </w:tblCellMar>
        </w:tblPrEx>
        <w:trPr>
          <w:jc w:val="center"/>
        </w:trPr>
        <w:tc>
          <w:tcPr>
            <w:tcW w:w="5386" w:type="dxa"/>
            <w:shd w:val="clear" w:color="auto" w:fill="F5F9FC"/>
          </w:tcPr>
          <w:p w14:paraId="019D1EF2">
            <w:pPr>
              <w:spacing w:before="40" w:after="40" w:line="240" w:lineRule="auto"/>
            </w:pPr>
            <w:r>
              <w:rPr>
                <w:sz w:val="19"/>
              </w:rPr>
              <w:t>Social connections</w:t>
            </w:r>
          </w:p>
        </w:tc>
        <w:tc>
          <w:tcPr>
            <w:tcW w:w="3969" w:type="dxa"/>
          </w:tcPr>
          <w:p w14:paraId="75087AD9">
            <w:pPr>
              <w:spacing w:before="40" w:after="40" w:line="240" w:lineRule="auto"/>
            </w:pPr>
          </w:p>
        </w:tc>
      </w:tr>
      <w:tr w14:paraId="24C167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40" w:type="dxa"/>
            <w:left w:w="80" w:type="dxa"/>
            <w:bottom w:w="40" w:type="dxa"/>
            <w:right w:w="80" w:type="dxa"/>
          </w:tblCellMar>
        </w:tblPrEx>
        <w:trPr>
          <w:jc w:val="center"/>
        </w:trPr>
        <w:tc>
          <w:tcPr>
            <w:tcW w:w="5386" w:type="dxa"/>
            <w:shd w:val="clear" w:color="auto" w:fill="F5F9FC"/>
          </w:tcPr>
          <w:p w14:paraId="46C89DDE">
            <w:pPr>
              <w:spacing w:before="40" w:after="40" w:line="240" w:lineRule="auto"/>
            </w:pPr>
            <w:r>
              <w:rPr>
                <w:sz w:val="19"/>
              </w:rPr>
              <w:t>Community welcome</w:t>
            </w:r>
          </w:p>
        </w:tc>
        <w:tc>
          <w:tcPr>
            <w:tcW w:w="3969" w:type="dxa"/>
          </w:tcPr>
          <w:p w14:paraId="23F2A5CE">
            <w:pPr>
              <w:spacing w:before="40" w:after="40" w:line="240" w:lineRule="auto"/>
            </w:pPr>
          </w:p>
        </w:tc>
      </w:tr>
      <w:tr w14:paraId="62B88B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40" w:type="dxa"/>
            <w:left w:w="80" w:type="dxa"/>
            <w:bottom w:w="40" w:type="dxa"/>
            <w:right w:w="80" w:type="dxa"/>
          </w:tblCellMar>
        </w:tblPrEx>
        <w:trPr>
          <w:jc w:val="center"/>
        </w:trPr>
        <w:tc>
          <w:tcPr>
            <w:tcW w:w="5386" w:type="dxa"/>
            <w:shd w:val="clear" w:color="auto" w:fill="F5F9FC"/>
          </w:tcPr>
          <w:p w14:paraId="32316A2E">
            <w:pPr>
              <w:spacing w:before="40" w:after="40" w:line="240" w:lineRule="auto"/>
            </w:pPr>
            <w:r>
              <w:rPr>
                <w:sz w:val="19"/>
              </w:rPr>
              <w:t>Access to institutions</w:t>
            </w:r>
          </w:p>
        </w:tc>
        <w:tc>
          <w:tcPr>
            <w:tcW w:w="3969" w:type="dxa"/>
          </w:tcPr>
          <w:p w14:paraId="2963FD38">
            <w:pPr>
              <w:spacing w:before="40" w:after="40" w:line="240" w:lineRule="auto"/>
            </w:pPr>
          </w:p>
        </w:tc>
      </w:tr>
      <w:tr w14:paraId="4DDA21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40" w:type="dxa"/>
            <w:left w:w="80" w:type="dxa"/>
            <w:bottom w:w="40" w:type="dxa"/>
            <w:right w:w="80" w:type="dxa"/>
          </w:tblCellMar>
        </w:tblPrEx>
        <w:trPr>
          <w:jc w:val="center"/>
        </w:trPr>
        <w:tc>
          <w:tcPr>
            <w:tcW w:w="5386" w:type="dxa"/>
            <w:shd w:val="clear" w:color="auto" w:fill="F5F9FC"/>
          </w:tcPr>
          <w:p w14:paraId="682F0173">
            <w:pPr>
              <w:spacing w:before="40" w:after="40" w:line="240" w:lineRule="auto"/>
            </w:pPr>
            <w:r>
              <w:rPr>
                <w:sz w:val="19"/>
              </w:rPr>
              <w:t>Belonging</w:t>
            </w:r>
          </w:p>
        </w:tc>
        <w:tc>
          <w:tcPr>
            <w:tcW w:w="3969" w:type="dxa"/>
          </w:tcPr>
          <w:p w14:paraId="25093CB4">
            <w:pPr>
              <w:spacing w:before="40" w:after="40" w:line="240" w:lineRule="auto"/>
            </w:pPr>
          </w:p>
        </w:tc>
      </w:tr>
      <w:tr w14:paraId="4135FD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40" w:type="dxa"/>
            <w:left w:w="80" w:type="dxa"/>
            <w:bottom w:w="40" w:type="dxa"/>
            <w:right w:w="80" w:type="dxa"/>
          </w:tblCellMar>
        </w:tblPrEx>
        <w:trPr>
          <w:jc w:val="center"/>
        </w:trPr>
        <w:tc>
          <w:tcPr>
            <w:tcW w:w="5386" w:type="dxa"/>
            <w:shd w:val="clear" w:color="auto" w:fill="F5F9FC"/>
          </w:tcPr>
          <w:p w14:paraId="61407DB7">
            <w:pPr>
              <w:spacing w:before="40" w:after="40" w:line="240" w:lineRule="auto"/>
            </w:pPr>
            <w:r>
              <w:rPr>
                <w:sz w:val="19"/>
              </w:rPr>
              <w:t>Safety and security</w:t>
            </w:r>
          </w:p>
        </w:tc>
        <w:tc>
          <w:tcPr>
            <w:tcW w:w="3969" w:type="dxa"/>
          </w:tcPr>
          <w:p w14:paraId="387F342D">
            <w:pPr>
              <w:spacing w:before="40" w:after="40" w:line="240" w:lineRule="auto"/>
            </w:pPr>
          </w:p>
        </w:tc>
      </w:tr>
    </w:tbl>
    <w:p w14:paraId="4C964567">
      <w:pPr>
        <w:pStyle w:val="4"/>
      </w:pPr>
      <w:r>
        <w:rPr>
          <w:color w:val="006B4F"/>
        </w:rPr>
        <w:t>Language and Digital Literacy</w:t>
      </w:r>
    </w:p>
    <w:p w14:paraId="02C67611">
      <w:pPr>
        <w:spacing w:before="0" w:after="120"/>
      </w:pPr>
      <w:r>
        <w:rPr>
          <w:b w:val="0"/>
          <w:i w:val="0"/>
          <w:sz w:val="21"/>
        </w:rPr>
        <w:t>This domain focuses on building participants' confidence in English and their ability to navigate an increasingly digital society. Providers support participants to use digital services safely and confidently; strengthen language skills through group-based, conversational and practical learning; promote English language programs such as AMEP and SEE; share information about interpreting and translation services; and build community capacity by training community leaders.</w:t>
      </w:r>
    </w:p>
    <w:p w14:paraId="7F1AF899">
      <w:pPr>
        <w:pStyle w:val="4"/>
      </w:pPr>
      <w:r>
        <w:rPr>
          <w:color w:val="006B4F"/>
        </w:rPr>
        <w:t>Understanding Host Culture</w:t>
      </w:r>
    </w:p>
    <w:p w14:paraId="743B0392">
      <w:pPr>
        <w:spacing w:before="0" w:after="120"/>
      </w:pPr>
      <w:r>
        <w:rPr>
          <w:b w:val="0"/>
          <w:i w:val="0"/>
          <w:sz w:val="21"/>
        </w:rPr>
        <w:t>This domain promotes understanding of Australian social, cultural and legal expectations, including cultural norms, local customs, Australian values, community protocols and areas of law including child discipline and family dispute resolution.</w:t>
      </w:r>
    </w:p>
    <w:p w14:paraId="33DA1F08">
      <w:pPr>
        <w:pStyle w:val="4"/>
      </w:pPr>
      <w:r>
        <w:rPr>
          <w:color w:val="006B4F"/>
        </w:rPr>
        <w:t>Economic Participation</w:t>
      </w:r>
    </w:p>
    <w:p w14:paraId="60A8C134">
      <w:pPr>
        <w:spacing w:before="0" w:after="120"/>
      </w:pPr>
      <w:r>
        <w:rPr>
          <w:b w:val="0"/>
          <w:i w:val="0"/>
          <w:sz w:val="21"/>
        </w:rPr>
        <w:t>This domain strengthens participants' readiness and pathways to employment, including information on employment, self-employment, apprenticeships, financial literacy, welfare obligations and overseas qualification recognition; understanding of Australian workplace systems and rights; job-search assistance, career coaching, mentoring, resume development, interview skills, pre-vocational training, bridging courses and work experience; and connections to employers, mainstream employment services and training providers.</w:t>
      </w:r>
    </w:p>
    <w:p w14:paraId="5410D016">
      <w:pPr>
        <w:pStyle w:val="4"/>
      </w:pPr>
      <w:r>
        <w:rPr>
          <w:color w:val="006B4F"/>
        </w:rPr>
        <w:t>Health and Wellbeing</w:t>
      </w:r>
    </w:p>
    <w:p w14:paraId="5CCDAE7D">
      <w:pPr>
        <w:spacing w:before="0" w:after="120"/>
      </w:pPr>
      <w:r>
        <w:rPr>
          <w:b w:val="0"/>
          <w:i w:val="0"/>
          <w:sz w:val="21"/>
        </w:rPr>
        <w:t>This domain focuses on building participants' understanding of health and wellbeing, including navigating health services, managing health needs, and referrals for crisis, domestic and family violence and specialist support.</w:t>
      </w:r>
    </w:p>
    <w:p w14:paraId="5F5CC158">
      <w:pPr>
        <w:pStyle w:val="4"/>
      </w:pPr>
      <w:r>
        <w:rPr>
          <w:color w:val="006B4F"/>
        </w:rPr>
        <w:t>Housing and Transport</w:t>
      </w:r>
    </w:p>
    <w:p w14:paraId="7BB2BE93">
      <w:pPr>
        <w:spacing w:before="0" w:after="120"/>
      </w:pPr>
      <w:r>
        <w:rPr>
          <w:b w:val="0"/>
          <w:i w:val="0"/>
          <w:sz w:val="21"/>
        </w:rPr>
        <w:t>This domain focuses on building participants' understanding of housing systems and safe mobility, including rental processes, tenancy rights and responsibilities, social housing applications, public transport use, licensing requirements and driving programs.</w:t>
      </w:r>
    </w:p>
    <w:p w14:paraId="302BD569">
      <w:pPr>
        <w:pStyle w:val="4"/>
      </w:pPr>
      <w:r>
        <w:rPr>
          <w:color w:val="006B4F"/>
        </w:rPr>
        <w:t>Education</w:t>
      </w:r>
    </w:p>
    <w:p w14:paraId="1ADCCE3B">
      <w:pPr>
        <w:spacing w:before="0" w:after="120"/>
      </w:pPr>
      <w:r>
        <w:rPr>
          <w:b w:val="0"/>
          <w:i w:val="0"/>
          <w:sz w:val="21"/>
        </w:rPr>
        <w:t>This domain supports educational engagement and pathways, including information about the Australian education system, enrolment requirements, homework programs, mentoring and tutoring, alternative education/training pathways, apprenticeships and tertiary education, and partnerships with schools and community leaders.</w:t>
      </w:r>
    </w:p>
    <w:p w14:paraId="1F6EBEFF">
      <w:pPr>
        <w:pStyle w:val="4"/>
      </w:pPr>
      <w:r>
        <w:rPr>
          <w:color w:val="006B4F"/>
        </w:rPr>
        <w:t>Social Connections</w:t>
      </w:r>
    </w:p>
    <w:p w14:paraId="1CF16151">
      <w:pPr>
        <w:spacing w:before="0" w:after="120"/>
      </w:pPr>
      <w:r>
        <w:rPr>
          <w:b w:val="0"/>
          <w:i w:val="0"/>
          <w:sz w:val="21"/>
        </w:rPr>
        <w:t>This domain fosters social inclusion and community networks, including building friendships and peer networks, group activities, cultural events, youth groups, community consultations, and participation in local community organisations, sport and volunteering.</w:t>
      </w:r>
    </w:p>
    <w:p w14:paraId="22FAD3A5">
      <w:pPr>
        <w:pStyle w:val="4"/>
      </w:pPr>
      <w:r>
        <w:rPr>
          <w:color w:val="006B4F"/>
        </w:rPr>
        <w:t>Community Welcome</w:t>
      </w:r>
    </w:p>
    <w:p w14:paraId="3AF85E25">
      <w:pPr>
        <w:spacing w:before="0" w:after="120"/>
      </w:pPr>
      <w:r>
        <w:rPr>
          <w:b w:val="0"/>
          <w:i w:val="0"/>
          <w:sz w:val="21"/>
        </w:rPr>
        <w:t>This domain aims to strengthen positive attitudes toward humanitarian entrants and support inclusive communities through stories that highlight positive contributions, constructive public narratives and activities that build solidarity between newly arrived and broader communities.</w:t>
      </w:r>
    </w:p>
    <w:p w14:paraId="7F594307">
      <w:pPr>
        <w:pStyle w:val="4"/>
      </w:pPr>
      <w:r>
        <w:rPr>
          <w:color w:val="006B4F"/>
        </w:rPr>
        <w:t>Access to Institutions</w:t>
      </w:r>
    </w:p>
    <w:p w14:paraId="7FB1B09F">
      <w:pPr>
        <w:spacing w:before="0" w:after="120"/>
      </w:pPr>
      <w:r>
        <w:rPr>
          <w:b w:val="0"/>
          <w:i w:val="0"/>
          <w:sz w:val="21"/>
        </w:rPr>
        <w:t>This domain supports participants to understand and interact with Australian institutions, including government services, community programs, banks, civic processes and legal systems, and promotes access to interpreting and translation services.</w:t>
      </w:r>
    </w:p>
    <w:p w14:paraId="5BA10A86">
      <w:pPr>
        <w:pStyle w:val="4"/>
      </w:pPr>
      <w:r>
        <w:rPr>
          <w:color w:val="006B4F"/>
        </w:rPr>
        <w:t>Belonging</w:t>
      </w:r>
    </w:p>
    <w:p w14:paraId="4758F0A7">
      <w:pPr>
        <w:spacing w:before="0" w:after="120"/>
      </w:pPr>
      <w:r>
        <w:rPr>
          <w:b w:val="0"/>
          <w:i w:val="0"/>
          <w:sz w:val="21"/>
        </w:rPr>
        <w:t>This domain supports participants to develop a sense of home, connection and inclusion, including sharing settlement journeys, anti-discrimination information and initiatives that strengthen feelings of safety, identity and connectedness.</w:t>
      </w:r>
    </w:p>
    <w:p w14:paraId="5DABDB52">
      <w:pPr>
        <w:pStyle w:val="4"/>
      </w:pPr>
      <w:r>
        <w:rPr>
          <w:color w:val="006B4F"/>
        </w:rPr>
        <w:t>Safety and Security</w:t>
      </w:r>
    </w:p>
    <w:p w14:paraId="072087A4">
      <w:pPr>
        <w:spacing w:before="0" w:after="120"/>
      </w:pPr>
      <w:r>
        <w:rPr>
          <w:b w:val="0"/>
          <w:i w:val="0"/>
          <w:sz w:val="21"/>
        </w:rPr>
        <w:t>This domain promotes both perceived and actual safety across personal, economic and community dimensions, including digital safety, economic security, violence prevention, and practical education such as road, pedestrian and water safety.</w:t>
      </w:r>
    </w:p>
    <w:p w14:paraId="68046583">
      <w:pPr>
        <w:pStyle w:val="3"/>
      </w:pPr>
      <w:r>
        <w:rPr>
          <w:color w:val="0066CC"/>
        </w:rPr>
        <w:t>4.3 Community Capacity Building</w:t>
      </w:r>
    </w:p>
    <w:p w14:paraId="585208F4">
      <w:pPr>
        <w:spacing w:before="0" w:after="120"/>
      </w:pPr>
      <w:r>
        <w:rPr>
          <w:b w:val="0"/>
          <w:i w:val="0"/>
          <w:sz w:val="21"/>
        </w:rPr>
        <w:t>Community Capacity Building activities empower new and emerging community groups and organisations to support their specific communities. Activities may include identifying and mentoring community leaders; volunteering opportunities; ongoing consultation with local communities; helping community groups access resources and facilities; training, leadership and mentoring; opportunities for small ethno-specific groups to take part in the broader community; developing governance and project management skills; supporting incorporation; and building skills in applying for and managing government funding.</w:t>
      </w:r>
    </w:p>
    <w:p w14:paraId="058FE605">
      <w:pPr>
        <w:pStyle w:val="3"/>
      </w:pPr>
      <w:r>
        <w:rPr>
          <w:color w:val="0066CC"/>
        </w:rPr>
        <w:t>4.4 Eligibility</w:t>
      </w:r>
    </w:p>
    <w:p w14:paraId="03875106">
      <w:pPr>
        <w:spacing w:before="0" w:after="120"/>
      </w:pPr>
      <w:r>
        <w:rPr>
          <w:b w:val="0"/>
          <w:i w:val="0"/>
          <w:sz w:val="21"/>
        </w:rPr>
        <w:t>SETS is a flexible and needs-based program delivered to eligible clients or groups in Australia. Providers target and prioritise support for:</w:t>
      </w:r>
    </w:p>
    <w:p w14:paraId="2251A45E">
      <w:pPr>
        <w:pStyle w:val="23"/>
        <w:spacing w:before="0" w:after="40"/>
      </w:pPr>
      <w:r>
        <w:rPr>
          <w:b w:val="0"/>
          <w:i w:val="0"/>
          <w:sz w:val="21"/>
        </w:rPr>
        <w:t>People who first arrived in Australia less than 5 years ago.</w:t>
      </w:r>
    </w:p>
    <w:p w14:paraId="1261219A">
      <w:pPr>
        <w:pStyle w:val="23"/>
        <w:spacing w:before="0" w:after="40"/>
      </w:pPr>
      <w:r>
        <w:rPr>
          <w:b w:val="0"/>
          <w:i w:val="0"/>
          <w:sz w:val="21"/>
        </w:rPr>
        <w:t>People requiring urgent help, including those with emergency health and wellbeing issues and/or family or domestic violence issues.</w:t>
      </w:r>
    </w:p>
    <w:p w14:paraId="048A2DCA">
      <w:pPr>
        <w:pStyle w:val="23"/>
        <w:spacing w:before="0" w:after="40"/>
      </w:pPr>
      <w:r>
        <w:rPr>
          <w:b w:val="0"/>
          <w:i w:val="0"/>
          <w:sz w:val="21"/>
        </w:rPr>
        <w:t>Individuals who need one-off or short-term support with a significant life change or event.</w:t>
      </w:r>
    </w:p>
    <w:p w14:paraId="6F212A5B">
      <w:pPr>
        <w:pStyle w:val="23"/>
        <w:spacing w:before="0" w:after="40"/>
      </w:pPr>
      <w:r>
        <w:rPr>
          <w:b w:val="0"/>
          <w:i w:val="0"/>
          <w:sz w:val="21"/>
        </w:rPr>
        <w:t>Dependents, often women, who have prioritised the needs of their family and delayed their own use of settlement services.</w:t>
      </w:r>
    </w:p>
    <w:p w14:paraId="330BBCF4">
      <w:pPr>
        <w:pStyle w:val="23"/>
        <w:spacing w:before="0" w:after="40"/>
      </w:pPr>
      <w:r>
        <w:rPr>
          <w:b w:val="0"/>
          <w:i w:val="0"/>
          <w:sz w:val="21"/>
        </w:rPr>
        <w:t>Individuals with prolonged issues of low literacy and English language proficiency.</w:t>
      </w:r>
    </w:p>
    <w:p w14:paraId="3166E89A">
      <w:pPr>
        <w:pStyle w:val="23"/>
        <w:spacing w:before="0" w:after="40"/>
      </w:pPr>
      <w:r>
        <w:rPr>
          <w:b w:val="0"/>
          <w:i w:val="0"/>
          <w:sz w:val="21"/>
        </w:rPr>
        <w:t>Individuals with critical settlement needs where no other settlement or mainstream services are available.</w:t>
      </w:r>
    </w:p>
    <w:p w14:paraId="3A3B2328">
      <w:pPr>
        <w:pStyle w:val="23"/>
        <w:spacing w:before="0" w:after="40"/>
      </w:pPr>
      <w:r>
        <w:rPr>
          <w:b w:val="0"/>
          <w:i w:val="0"/>
          <w:sz w:val="21"/>
        </w:rPr>
        <w:t>Older migrants or individuals who arrived at a young age and have been in Australia for over 5 years and develop issues as they grow older.</w:t>
      </w:r>
    </w:p>
    <w:p w14:paraId="4AE34611">
      <w:pPr>
        <w:pStyle w:val="23"/>
        <w:spacing w:before="0" w:after="40"/>
      </w:pPr>
      <w:r>
        <w:rPr>
          <w:b w:val="0"/>
          <w:i w:val="0"/>
          <w:sz w:val="21"/>
        </w:rPr>
        <w:t>New and emerging ethno-specific communities, community leaders and emerging community representatives.</w:t>
      </w:r>
    </w:p>
    <w:p w14:paraId="433506BA">
      <w:pPr>
        <w:pStyle w:val="23"/>
        <w:spacing w:before="0" w:after="40"/>
      </w:pPr>
      <w:r>
        <w:rPr>
          <w:b w:val="0"/>
          <w:i w:val="0"/>
          <w:sz w:val="21"/>
        </w:rPr>
        <w:t>New and emerging ethno-specific organisations with limited corporate capacity.</w:t>
      </w:r>
    </w:p>
    <w:p w14:paraId="603C21CE">
      <w:pPr>
        <w:spacing w:before="0" w:after="120"/>
      </w:pPr>
      <w:r>
        <w:rPr>
          <w:b w:val="0"/>
          <w:i w:val="0"/>
          <w:sz w:val="21"/>
        </w:rPr>
        <w:t>Providers can support clients outside these priority groups based on client need, budget limitations and relevant program outcomes. Australian citizens are not eligible to use the SETS program.</w:t>
      </w:r>
    </w:p>
    <w:p w14:paraId="705B4B91">
      <w:pPr>
        <w:pStyle w:val="3"/>
      </w:pPr>
      <w:r>
        <w:rPr>
          <w:color w:val="0066CC"/>
        </w:rPr>
        <w:t>4.5 Eligible Visa Subclasses</w:t>
      </w:r>
    </w:p>
    <w:p w14:paraId="46D6DF99">
      <w:pPr>
        <w:pStyle w:val="4"/>
      </w:pPr>
      <w:r>
        <w:rPr>
          <w:color w:val="006B4F"/>
        </w:rPr>
        <w:t>a. Permanent Visas</w:t>
      </w:r>
    </w:p>
    <w:p w14:paraId="761508F1">
      <w:pPr>
        <w:pStyle w:val="23"/>
        <w:spacing w:before="0" w:after="40"/>
      </w:pPr>
      <w:r>
        <w:rPr>
          <w:b w:val="0"/>
          <w:i w:val="0"/>
          <w:sz w:val="21"/>
        </w:rPr>
        <w:t>Refugee and humanitarian visas: Refugee (200); In-country Special Humanitarian (201); Global Special Humanitarian (202); Emergency Rescue (203); Woman at Risk (204); Territorial Asylum (800); Protection (866).</w:t>
      </w:r>
    </w:p>
    <w:p w14:paraId="30720255">
      <w:pPr>
        <w:pStyle w:val="23"/>
        <w:spacing w:before="0" w:after="40"/>
      </w:pPr>
      <w:r>
        <w:rPr>
          <w:b w:val="0"/>
          <w:i w:val="0"/>
          <w:sz w:val="21"/>
        </w:rPr>
        <w:t>Family and partner visas (low English proficiency): Partner (Migrant) (100); Child (101); Adoption (102); Parent (103); Aged Dependent Relative (114); Remaining Relative (115); Carer (116); Orphan Relative (117); Contributory Parent (143); Partner (Permanent) (801); Child (802); Aged Parent (804); Remaining Relative (835); Carer (836); Orphan Relative (837); Aged Dependent Relative (838); Contributory Aged Parent (864).</w:t>
      </w:r>
    </w:p>
    <w:p w14:paraId="777E80B3">
      <w:pPr>
        <w:pStyle w:val="23"/>
        <w:spacing w:before="0" w:after="40"/>
      </w:pPr>
      <w:r>
        <w:rPr>
          <w:b w:val="0"/>
          <w:i w:val="0"/>
          <w:sz w:val="21"/>
        </w:rPr>
        <w:t>Working and skilled visas (dependants only, in rural and regional areas, with low English proficiency): Distinguished Talent (124); Business Talent (Permanent) (132); Employer Nomination Scheme (186); Regional Sponsored Migration Scheme (187); Skilled – Independent (189); Skilled – Nominated (190); Permanent Residence (Skilled Regional) (191); National Innovation (858); Skilled – Regional (887); Business Innovation and Investment (Permanent) (888); Business Owner (890); Investor (891); State/Territory Sponsored Business Owner (892); State/Territory Sponsored Investor (893).</w:t>
      </w:r>
    </w:p>
    <w:p w14:paraId="2BBAC809">
      <w:pPr>
        <w:pStyle w:val="23"/>
        <w:spacing w:before="0" w:after="40"/>
      </w:pPr>
      <w:r>
        <w:rPr>
          <w:b w:val="0"/>
          <w:i w:val="0"/>
          <w:sz w:val="21"/>
        </w:rPr>
        <w:t>Other streams: Former Resident (151) (eligibility depends on whether the previous visa was eligible for settlement services); Referred Stay (Permanent) (852); Pacific Engagement (192); Resolution of Status (RoS) (851) — only if granted to Ukrainian nationals due to the crisis in Ukraine.</w:t>
      </w:r>
    </w:p>
    <w:p w14:paraId="4E1A1CF7">
      <w:pPr>
        <w:pStyle w:val="4"/>
      </w:pPr>
      <w:r>
        <w:rPr>
          <w:color w:val="006B4F"/>
        </w:rPr>
        <w:t>b. Temporary Visa Subclasses</w:t>
      </w:r>
    </w:p>
    <w:p w14:paraId="384E38D4">
      <w:pPr>
        <w:pStyle w:val="23"/>
        <w:spacing w:before="0" w:after="40"/>
      </w:pPr>
      <w:r>
        <w:rPr>
          <w:b w:val="0"/>
          <w:i w:val="0"/>
          <w:sz w:val="21"/>
        </w:rPr>
        <w:t>Refugee and humanitarian visas: Humanitarian Stay (Temporary) (449) — limited to circumstances granted on or after 19 August 2021 for reasons relating to the deteriorating security situation in Afghanistan (excluding unauthorised maritime arrivals), to Ukrainian nationals due to the crisis in Ukraine, or to Palestinian and Israeli nationals due to the Hamas-Israel conflict; Temporary (Humanitarian Concern) (786) — limited to circumstances granted to Ukrainian nationals or to Palestinian and Israeli nationals due to the Hamas-Israel conflict; Visitor (600) — limited to circumstances granted to Ukrainian nationals due to the crisis in Ukraine where a valid application for a Humanitarian Stay (Temporary) (449) visa has been made.</w:t>
      </w:r>
    </w:p>
    <w:p w14:paraId="33838C8E">
      <w:pPr>
        <w:pStyle w:val="23"/>
        <w:spacing w:before="0" w:after="40"/>
      </w:pPr>
      <w:r>
        <w:rPr>
          <w:b w:val="0"/>
          <w:i w:val="0"/>
          <w:sz w:val="21"/>
        </w:rPr>
        <w:t>Family and partner visas (low English proficiency): Contributory Parent (Temporary) (173); Contributory Aged Parent (Temporary) (884); Prospective Marriage (300); Partner (Provisional) (309); Dependent Child (445); Partner (Temporary) (820).</w:t>
      </w:r>
    </w:p>
    <w:p w14:paraId="0311E9C8">
      <w:pPr>
        <w:pStyle w:val="23"/>
        <w:spacing w:before="0" w:after="40"/>
      </w:pPr>
      <w:r>
        <w:rPr>
          <w:b w:val="0"/>
          <w:i w:val="0"/>
          <w:sz w:val="21"/>
        </w:rPr>
        <w:t>Working and skilled visas (dependants only, in rural and regional areas, with low English proficiency): Business Owner (Provisional) (160)*; Senior Executive (Provisional) (161)*; Investor (Provisional) (162)*; State/Territory Sponsored Business Owner (Provisional) (163)*; State/Territory Sponsored Senior Executive (Provisional) (164)*; State/Territory Sponsored Investor (165)*; Business Innovation and Investment (Provisional) (188); Temporary Work (Short Stay Specialist) (400); Temporary Work (International Relations) (403)**; Skilled – Regional Sponsored (475)*; Skilled – Recognised Graduate (476); Skills in Demand (482); Temporary Skill Shortage (482)*; Temporary Graduate (485); Skilled – Regional Sponsored (487)*; Skilled – Regional (Provisional) (489); Skilled – Work Regional (Provisional) (491); Skilled – Employer Sponsored Regional (Provisional) (494).</w:t>
      </w:r>
    </w:p>
    <w:p w14:paraId="1DC431A9">
      <w:pPr>
        <w:spacing w:before="0" w:after="120"/>
      </w:pPr>
      <w:r>
        <w:rPr>
          <w:b w:val="0"/>
          <w:i w:val="0"/>
          <w:sz w:val="21"/>
        </w:rPr>
        <w:t>*These visas are closed to new applications, but eligible SETS clients could still hold the visa. **Subclass 403 relates to the Temporary Work (International Relations) visas, including those relating to the Pacific Australia Labour Mobility (PALM) scheme. PALM scheme workers are not eligible for SETS, but dependents participating in the PALM family accompaniment pilot are eligible for SETS if they are in a rural or regional location and have low English proficiency.</w:t>
      </w:r>
    </w:p>
    <w:p w14:paraId="55B59A72">
      <w:pPr>
        <w:pStyle w:val="3"/>
      </w:pPr>
      <w:r>
        <w:rPr>
          <w:color w:val="0066CC"/>
        </w:rPr>
        <w:t>4.6 Referrals</w:t>
      </w:r>
    </w:p>
    <w:p w14:paraId="644FC638">
      <w:pPr>
        <w:spacing w:before="0" w:after="120"/>
      </w:pPr>
      <w:r>
        <w:rPr>
          <w:b w:val="0"/>
          <w:i w:val="0"/>
          <w:sz w:val="21"/>
        </w:rPr>
        <w:t>Referrals to SETS can come from HSP providers, community service organisations, medical providers, employment services, training organisations or the general community.</w:t>
      </w:r>
    </w:p>
    <w:p w14:paraId="3A0E0BE9">
      <w:pPr>
        <w:pStyle w:val="3"/>
      </w:pPr>
      <w:r>
        <w:rPr>
          <w:color w:val="0066CC"/>
        </w:rPr>
        <w:t>4.7 SETS Providers</w:t>
      </w:r>
    </w:p>
    <w:p w14:paraId="597BC2E4">
      <w:pPr>
        <w:spacing w:before="0" w:after="120"/>
      </w:pPr>
      <w:r>
        <w:rPr>
          <w:b w:val="0"/>
          <w:i w:val="0"/>
          <w:sz w:val="21"/>
        </w:rPr>
        <w:t>103 providers are funded to provide SETS services for the period 1 July 2024 to 30 June 2027 (Department of Home Affairs). Listed organisations and service areas can be found on the Department of Home Affairs SETS List of Providers.</w:t>
      </w:r>
    </w:p>
    <w:p w14:paraId="3A9313EA">
      <w:pPr>
        <w:pStyle w:val="3"/>
      </w:pPr>
      <w:r>
        <w:rPr>
          <w:color w:val="0066CC"/>
        </w:rPr>
        <w:t>4.8 Sector Collaboration</w:t>
      </w:r>
    </w:p>
    <w:p w14:paraId="610F6B4A">
      <w:pPr>
        <w:spacing w:before="0" w:after="120"/>
      </w:pPr>
      <w:r>
        <w:rPr>
          <w:b w:val="0"/>
          <w:i w:val="0"/>
          <w:sz w:val="21"/>
        </w:rPr>
        <w:t>For SETS service providers, key stakeholders are integral to providing holistic and quality services. Partnerships are key to the delivery of effective settlement services. When service providers work together, they strengthen support, avoid duplication of effort, develop strong referral pathways, enable collaborative casework strategies and build effective cross-sector capacity. Key stakeholders include other SETS providers, HSP providers, AMEP providers, Workforce Australia providers, state-funded employment support, community hubs, schools, Services Australia (including Multicultural Service Officers), community services, youth services, accommodation and refuge services, local government, police and legal services, counselling services and cultural, recreational and sporting groups.</w:t>
      </w:r>
    </w:p>
    <w:p w14:paraId="167F2B35">
      <w:pPr>
        <w:pStyle w:val="3"/>
      </w:pPr>
      <w:r>
        <w:rPr>
          <w:color w:val="0066CC"/>
        </w:rPr>
        <w:t>4.9 SETS Providers in the Brisbane South East Region</w:t>
      </w:r>
    </w:p>
    <w:p w14:paraId="06D391C1">
      <w:pPr>
        <w:spacing w:before="0" w:after="120"/>
      </w:pPr>
      <w:r>
        <w:rPr>
          <w:b w:val="0"/>
          <w:i w:val="0"/>
          <w:sz w:val="21"/>
        </w:rPr>
        <w:t>The following SETS providers were identified in the Brisbane South East environmental scan and cross-checked against the Department of Home Affairs SETS listing. Contact details are from current provider pages; confirm current service areas directly with each provider before referral.</w:t>
      </w:r>
    </w:p>
    <w:p w14:paraId="49B9C799">
      <w:pPr>
        <w:pStyle w:val="4"/>
      </w:pPr>
      <w:r>
        <w:rPr>
          <w:color w:val="002B49"/>
        </w:rPr>
        <w:t>Multicultural Australia — SETS</w:t>
      </w:r>
    </w:p>
    <w:tbl>
      <w:tblPr>
        <w:tblStyle w:val="3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30" w:type="dxa"/>
          <w:left w:w="80" w:type="dxa"/>
          <w:bottom w:w="30" w:type="dxa"/>
          <w:right w:w="80" w:type="dxa"/>
        </w:tblCellMar>
      </w:tblPr>
      <w:tblGrid>
        <w:gridCol w:w="4819"/>
        <w:gridCol w:w="4819"/>
      </w:tblGrid>
      <w:tr w14:paraId="2A334B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30" w:type="dxa"/>
            <w:left w:w="80" w:type="dxa"/>
            <w:bottom w:w="30" w:type="dxa"/>
            <w:right w:w="80" w:type="dxa"/>
          </w:tblCellMar>
        </w:tblPrEx>
        <w:tc>
          <w:tcPr>
            <w:tcW w:w="2494" w:type="dxa"/>
            <w:shd w:val="clear" w:color="auto" w:fill="E8F4FD"/>
          </w:tcPr>
          <w:p w14:paraId="5CBEC43C">
            <w:pPr>
              <w:spacing w:before="20" w:after="20" w:line="240" w:lineRule="auto"/>
            </w:pPr>
            <w:r>
              <w:rPr>
                <w:b/>
                <w:color w:val="002B49"/>
                <w:sz w:val="19"/>
              </w:rPr>
              <w:t>Organisation</w:t>
            </w:r>
          </w:p>
        </w:tc>
        <w:tc>
          <w:tcPr>
            <w:tcW w:w="7143" w:type="dxa"/>
          </w:tcPr>
          <w:p w14:paraId="0F57876A">
            <w:pPr>
              <w:spacing w:before="20" w:after="20" w:line="240" w:lineRule="auto"/>
            </w:pPr>
            <w:r>
              <w:rPr>
                <w:sz w:val="19"/>
              </w:rPr>
              <w:t>Multicultural Australia</w:t>
            </w:r>
          </w:p>
        </w:tc>
      </w:tr>
      <w:tr w14:paraId="21FF2E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30" w:type="dxa"/>
            <w:left w:w="80" w:type="dxa"/>
            <w:bottom w:w="30" w:type="dxa"/>
            <w:right w:w="80" w:type="dxa"/>
          </w:tblCellMar>
        </w:tblPrEx>
        <w:tc>
          <w:tcPr>
            <w:tcW w:w="2494" w:type="dxa"/>
            <w:shd w:val="clear" w:color="auto" w:fill="E8F4FD"/>
          </w:tcPr>
          <w:p w14:paraId="3CD924C4">
            <w:pPr>
              <w:spacing w:before="20" w:after="20" w:line="240" w:lineRule="auto"/>
            </w:pPr>
            <w:r>
              <w:rPr>
                <w:b/>
                <w:color w:val="002B49"/>
                <w:sz w:val="19"/>
              </w:rPr>
              <w:t>Service Category</w:t>
            </w:r>
          </w:p>
        </w:tc>
        <w:tc>
          <w:tcPr>
            <w:tcW w:w="7143" w:type="dxa"/>
          </w:tcPr>
          <w:p w14:paraId="0C06DCD1">
            <w:pPr>
              <w:spacing w:before="20" w:after="20" w:line="240" w:lineRule="auto"/>
            </w:pPr>
            <w:r>
              <w:rPr>
                <w:sz w:val="19"/>
              </w:rPr>
              <w:t>Settlement support; case management; community engagement</w:t>
            </w:r>
          </w:p>
        </w:tc>
      </w:tr>
      <w:tr w14:paraId="47116E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30" w:type="dxa"/>
            <w:left w:w="80" w:type="dxa"/>
            <w:bottom w:w="30" w:type="dxa"/>
            <w:right w:w="80" w:type="dxa"/>
          </w:tblCellMar>
        </w:tblPrEx>
        <w:tc>
          <w:tcPr>
            <w:tcW w:w="2494" w:type="dxa"/>
            <w:shd w:val="clear" w:color="auto" w:fill="E8F4FD"/>
          </w:tcPr>
          <w:p w14:paraId="450FC5F1">
            <w:pPr>
              <w:spacing w:before="20" w:after="20" w:line="240" w:lineRule="auto"/>
            </w:pPr>
            <w:r>
              <w:rPr>
                <w:b/>
                <w:color w:val="002B49"/>
                <w:sz w:val="19"/>
              </w:rPr>
              <w:t>Program / Service</w:t>
            </w:r>
          </w:p>
        </w:tc>
        <w:tc>
          <w:tcPr>
            <w:tcW w:w="7143" w:type="dxa"/>
          </w:tcPr>
          <w:p w14:paraId="1300D944">
            <w:pPr>
              <w:spacing w:before="20" w:after="20" w:line="240" w:lineRule="auto"/>
            </w:pPr>
            <w:r>
              <w:rPr>
                <w:sz w:val="19"/>
              </w:rPr>
              <w:t>Settlement Engagement and Transition Support (SETS)</w:t>
            </w:r>
          </w:p>
        </w:tc>
      </w:tr>
      <w:tr w14:paraId="5B5AAA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30" w:type="dxa"/>
            <w:left w:w="80" w:type="dxa"/>
            <w:bottom w:w="30" w:type="dxa"/>
            <w:right w:w="80" w:type="dxa"/>
          </w:tblCellMar>
        </w:tblPrEx>
        <w:tc>
          <w:tcPr>
            <w:tcW w:w="2494" w:type="dxa"/>
            <w:shd w:val="clear" w:color="auto" w:fill="E8F4FD"/>
          </w:tcPr>
          <w:p w14:paraId="0ADB9606">
            <w:pPr>
              <w:spacing w:before="20" w:after="20" w:line="240" w:lineRule="auto"/>
            </w:pPr>
            <w:r>
              <w:rPr>
                <w:b/>
                <w:color w:val="002B49"/>
                <w:sz w:val="19"/>
              </w:rPr>
              <w:t>Service Description</w:t>
            </w:r>
          </w:p>
        </w:tc>
        <w:tc>
          <w:tcPr>
            <w:tcW w:w="7143" w:type="dxa"/>
          </w:tcPr>
          <w:p w14:paraId="0AA010DD">
            <w:pPr>
              <w:spacing w:before="20" w:after="20" w:line="240" w:lineRule="auto"/>
            </w:pPr>
            <w:r>
              <w:rPr>
                <w:sz w:val="19"/>
              </w:rPr>
              <w:t>Intake/triage, one-to-one support, settlement case management, housing and income support navigation, English, education, employment, community participation and wellbeing support.</w:t>
            </w:r>
          </w:p>
        </w:tc>
      </w:tr>
      <w:tr w14:paraId="53FEDB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30" w:type="dxa"/>
            <w:left w:w="80" w:type="dxa"/>
            <w:bottom w:w="30" w:type="dxa"/>
            <w:right w:w="80" w:type="dxa"/>
          </w:tblCellMar>
        </w:tblPrEx>
        <w:tc>
          <w:tcPr>
            <w:tcW w:w="2494" w:type="dxa"/>
            <w:shd w:val="clear" w:color="auto" w:fill="E8F4FD"/>
          </w:tcPr>
          <w:p w14:paraId="05449221">
            <w:pPr>
              <w:spacing w:before="20" w:after="20" w:line="240" w:lineRule="auto"/>
            </w:pPr>
            <w:r>
              <w:rPr>
                <w:b/>
                <w:color w:val="002B49"/>
                <w:sz w:val="19"/>
              </w:rPr>
              <w:t>Who They Support</w:t>
            </w:r>
          </w:p>
        </w:tc>
        <w:tc>
          <w:tcPr>
            <w:tcW w:w="7143" w:type="dxa"/>
          </w:tcPr>
          <w:p w14:paraId="538C5D52">
            <w:pPr>
              <w:spacing w:before="20" w:after="20" w:line="240" w:lineRule="auto"/>
            </w:pPr>
            <w:r>
              <w:rPr>
                <w:sz w:val="19"/>
              </w:rPr>
              <w:t>Humanitarian entrants, eligible permanent migrants, families and communities (SETS eligibility applies)</w:t>
            </w:r>
          </w:p>
        </w:tc>
      </w:tr>
      <w:tr w14:paraId="6FE90D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30" w:type="dxa"/>
            <w:left w:w="80" w:type="dxa"/>
            <w:bottom w:w="30" w:type="dxa"/>
            <w:right w:w="80" w:type="dxa"/>
          </w:tblCellMar>
        </w:tblPrEx>
        <w:tc>
          <w:tcPr>
            <w:tcW w:w="2494" w:type="dxa"/>
            <w:shd w:val="clear" w:color="auto" w:fill="E8F4FD"/>
          </w:tcPr>
          <w:p w14:paraId="4EE62502">
            <w:pPr>
              <w:spacing w:before="20" w:after="20" w:line="240" w:lineRule="auto"/>
            </w:pPr>
            <w:r>
              <w:rPr>
                <w:b/>
                <w:color w:val="002B49"/>
                <w:sz w:val="19"/>
              </w:rPr>
              <w:t>Address</w:t>
            </w:r>
          </w:p>
        </w:tc>
        <w:tc>
          <w:tcPr>
            <w:tcW w:w="7143" w:type="dxa"/>
          </w:tcPr>
          <w:p w14:paraId="19B8B32A">
            <w:pPr>
              <w:spacing w:before="20" w:after="20" w:line="240" w:lineRule="auto"/>
            </w:pPr>
            <w:r>
              <w:rPr>
                <w:sz w:val="19"/>
              </w:rPr>
              <w:t>Brisbane Multicultural Centre, 28 Dibley Street, Woolloongabba QLD 4102; Logan office, 55 Wembley Road, Logan Central QLD 4114</w:t>
            </w:r>
          </w:p>
        </w:tc>
      </w:tr>
      <w:tr w14:paraId="74844D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30" w:type="dxa"/>
            <w:left w:w="80" w:type="dxa"/>
            <w:bottom w:w="30" w:type="dxa"/>
            <w:right w:w="80" w:type="dxa"/>
          </w:tblCellMar>
        </w:tblPrEx>
        <w:tc>
          <w:tcPr>
            <w:tcW w:w="2494" w:type="dxa"/>
            <w:shd w:val="clear" w:color="auto" w:fill="E8F4FD"/>
          </w:tcPr>
          <w:p w14:paraId="42EA7BDA">
            <w:pPr>
              <w:spacing w:before="20" w:after="20" w:line="240" w:lineRule="auto"/>
            </w:pPr>
            <w:r>
              <w:rPr>
                <w:b/>
                <w:color w:val="002B49"/>
                <w:sz w:val="19"/>
              </w:rPr>
              <w:t>Phone</w:t>
            </w:r>
          </w:p>
        </w:tc>
        <w:tc>
          <w:tcPr>
            <w:tcW w:w="7143" w:type="dxa"/>
          </w:tcPr>
          <w:p w14:paraId="59074577">
            <w:pPr>
              <w:spacing w:before="20" w:after="20" w:line="240" w:lineRule="auto"/>
            </w:pPr>
            <w:r>
              <w:rPr>
                <w:sz w:val="19"/>
              </w:rPr>
              <w:t>Brisbane: 07 3337 5400; Logan: 07 3198 2555</w:t>
            </w:r>
          </w:p>
        </w:tc>
      </w:tr>
      <w:tr w14:paraId="2A0F23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30" w:type="dxa"/>
            <w:left w:w="80" w:type="dxa"/>
            <w:bottom w:w="30" w:type="dxa"/>
            <w:right w:w="80" w:type="dxa"/>
          </w:tblCellMar>
        </w:tblPrEx>
        <w:tc>
          <w:tcPr>
            <w:tcW w:w="2494" w:type="dxa"/>
            <w:shd w:val="clear" w:color="auto" w:fill="E8F4FD"/>
          </w:tcPr>
          <w:p w14:paraId="04FA90B5">
            <w:pPr>
              <w:spacing w:before="20" w:after="20" w:line="240" w:lineRule="auto"/>
            </w:pPr>
            <w:r>
              <w:rPr>
                <w:b/>
                <w:color w:val="002B49"/>
                <w:sz w:val="19"/>
              </w:rPr>
              <w:t>Email</w:t>
            </w:r>
          </w:p>
        </w:tc>
        <w:tc>
          <w:tcPr>
            <w:tcW w:w="7143" w:type="dxa"/>
          </w:tcPr>
          <w:p w14:paraId="5400FAF4">
            <w:pPr>
              <w:spacing w:before="20" w:after="20" w:line="240" w:lineRule="auto"/>
            </w:pPr>
            <w:r>
              <w:rPr>
                <w:sz w:val="19"/>
              </w:rPr>
              <w:t>welcome@mcaus.org.au; LoganOffice@mcaus.org.au</w:t>
            </w:r>
          </w:p>
        </w:tc>
      </w:tr>
      <w:tr w14:paraId="40C911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30" w:type="dxa"/>
            <w:left w:w="80" w:type="dxa"/>
            <w:bottom w:w="30" w:type="dxa"/>
            <w:right w:w="80" w:type="dxa"/>
          </w:tblCellMar>
        </w:tblPrEx>
        <w:tc>
          <w:tcPr>
            <w:tcW w:w="2494" w:type="dxa"/>
            <w:shd w:val="clear" w:color="auto" w:fill="E8F4FD"/>
          </w:tcPr>
          <w:p w14:paraId="6669F8BF">
            <w:pPr>
              <w:spacing w:before="20" w:after="20" w:line="240" w:lineRule="auto"/>
            </w:pPr>
            <w:r>
              <w:rPr>
                <w:b/>
                <w:color w:val="002B49"/>
                <w:sz w:val="19"/>
              </w:rPr>
              <w:t>Website</w:t>
            </w:r>
          </w:p>
        </w:tc>
        <w:tc>
          <w:tcPr>
            <w:tcW w:w="7143" w:type="dxa"/>
          </w:tcPr>
          <w:p w14:paraId="11476880">
            <w:pPr>
              <w:spacing w:before="20" w:after="20" w:line="240" w:lineRule="auto"/>
            </w:pPr>
            <w:r>
              <w:fldChar w:fldCharType="begin"/>
            </w:r>
            <w:r>
              <w:instrText xml:space="preserve"> HYPERLINK "https://www.multiculturalaustralia.org.au" \h </w:instrText>
            </w:r>
            <w:r>
              <w:fldChar w:fldCharType="separate"/>
            </w:r>
            <w:r>
              <w:rPr>
                <w:rFonts w:ascii="Calibri" w:hAnsi="Calibri"/>
                <w:color w:val="0066CC"/>
                <w:sz w:val="19"/>
                <w:u w:val="single"/>
              </w:rPr>
              <w:t>https://www.multiculturalaustralia.org.au</w:t>
            </w:r>
            <w:r>
              <w:rPr>
                <w:rFonts w:ascii="Calibri" w:hAnsi="Calibri"/>
                <w:color w:val="0066CC"/>
                <w:sz w:val="19"/>
                <w:u w:val="single"/>
              </w:rPr>
              <w:fldChar w:fldCharType="end"/>
            </w:r>
          </w:p>
        </w:tc>
      </w:tr>
      <w:tr w14:paraId="1E607C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30" w:type="dxa"/>
            <w:left w:w="80" w:type="dxa"/>
            <w:bottom w:w="30" w:type="dxa"/>
            <w:right w:w="80" w:type="dxa"/>
          </w:tblCellMar>
        </w:tblPrEx>
        <w:tc>
          <w:tcPr>
            <w:tcW w:w="2494" w:type="dxa"/>
            <w:shd w:val="clear" w:color="auto" w:fill="E8F4FD"/>
          </w:tcPr>
          <w:p w14:paraId="05FCA1B5">
            <w:pPr>
              <w:spacing w:before="20" w:after="20" w:line="240" w:lineRule="auto"/>
            </w:pPr>
            <w:r>
              <w:rPr>
                <w:b/>
                <w:color w:val="002B49"/>
                <w:sz w:val="19"/>
              </w:rPr>
              <w:t>Referral / Intake</w:t>
            </w:r>
          </w:p>
        </w:tc>
        <w:tc>
          <w:tcPr>
            <w:tcW w:w="7143" w:type="dxa"/>
          </w:tcPr>
          <w:p w14:paraId="39F3F0F2">
            <w:pPr>
              <w:spacing w:before="20" w:after="20" w:line="240" w:lineRule="auto"/>
            </w:pPr>
            <w:r>
              <w:rPr>
                <w:sz w:val="19"/>
              </w:rPr>
              <w:t>Organisations can use the SETS referral form; individuals can access intake by phone or attending an office</w:t>
            </w:r>
          </w:p>
        </w:tc>
      </w:tr>
      <w:tr w14:paraId="43DF1E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30" w:type="dxa"/>
            <w:left w:w="80" w:type="dxa"/>
            <w:bottom w:w="30" w:type="dxa"/>
            <w:right w:w="80" w:type="dxa"/>
          </w:tblCellMar>
        </w:tblPrEx>
        <w:tc>
          <w:tcPr>
            <w:tcW w:w="2494" w:type="dxa"/>
            <w:shd w:val="clear" w:color="auto" w:fill="E8F4FD"/>
          </w:tcPr>
          <w:p w14:paraId="60BCF867">
            <w:pPr>
              <w:spacing w:before="20" w:after="20" w:line="240" w:lineRule="auto"/>
            </w:pPr>
            <w:r>
              <w:rPr>
                <w:b/>
                <w:color w:val="002B49"/>
                <w:sz w:val="19"/>
              </w:rPr>
              <w:t>Self-Referral</w:t>
            </w:r>
          </w:p>
        </w:tc>
        <w:tc>
          <w:tcPr>
            <w:tcW w:w="7143" w:type="dxa"/>
          </w:tcPr>
          <w:p w14:paraId="2812D1AF">
            <w:pPr>
              <w:spacing w:before="20" w:after="20" w:line="240" w:lineRule="auto"/>
            </w:pPr>
            <w:r>
              <w:rPr>
                <w:sz w:val="19"/>
              </w:rPr>
              <w:t>Yes — direct phone/office intake</w:t>
            </w:r>
          </w:p>
        </w:tc>
      </w:tr>
      <w:tr w14:paraId="28DBA3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30" w:type="dxa"/>
            <w:left w:w="80" w:type="dxa"/>
            <w:bottom w:w="30" w:type="dxa"/>
            <w:right w:w="80" w:type="dxa"/>
          </w:tblCellMar>
        </w:tblPrEx>
        <w:tc>
          <w:tcPr>
            <w:tcW w:w="2494" w:type="dxa"/>
            <w:shd w:val="clear" w:color="auto" w:fill="E8F4FD"/>
          </w:tcPr>
          <w:p w14:paraId="7F22AE10">
            <w:pPr>
              <w:spacing w:before="20" w:after="20" w:line="240" w:lineRule="auto"/>
            </w:pPr>
            <w:r>
              <w:rPr>
                <w:b/>
                <w:color w:val="002B49"/>
                <w:sz w:val="19"/>
              </w:rPr>
              <w:t>Coverage</w:t>
            </w:r>
          </w:p>
        </w:tc>
        <w:tc>
          <w:tcPr>
            <w:tcW w:w="7143" w:type="dxa"/>
          </w:tcPr>
          <w:p w14:paraId="75A95C70">
            <w:pPr>
              <w:spacing w:before="20" w:after="20" w:line="240" w:lineRule="auto"/>
            </w:pPr>
            <w:r>
              <w:rPr>
                <w:sz w:val="19"/>
              </w:rPr>
              <w:t>Brisbane and Logan groups; program also operates in other Queensland regions</w:t>
            </w:r>
          </w:p>
        </w:tc>
      </w:tr>
      <w:tr w14:paraId="08900F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30" w:type="dxa"/>
            <w:left w:w="80" w:type="dxa"/>
            <w:bottom w:w="30" w:type="dxa"/>
            <w:right w:w="80" w:type="dxa"/>
          </w:tblCellMar>
        </w:tblPrEx>
        <w:tc>
          <w:tcPr>
            <w:tcW w:w="2494" w:type="dxa"/>
            <w:shd w:val="clear" w:color="auto" w:fill="E8F4FD"/>
          </w:tcPr>
          <w:p w14:paraId="1DB08AD4">
            <w:pPr>
              <w:spacing w:before="20" w:after="20" w:line="240" w:lineRule="auto"/>
            </w:pPr>
            <w:r>
              <w:rPr>
                <w:b/>
                <w:color w:val="002B49"/>
                <w:sz w:val="19"/>
              </w:rPr>
              <w:t>Languages / Interpreters</w:t>
            </w:r>
          </w:p>
        </w:tc>
        <w:tc>
          <w:tcPr>
            <w:tcW w:w="7143" w:type="dxa"/>
          </w:tcPr>
          <w:p w14:paraId="662B15A0">
            <w:pPr>
              <w:spacing w:before="20" w:after="20" w:line="240" w:lineRule="auto"/>
            </w:pPr>
            <w:r>
              <w:rPr>
                <w:sz w:val="19"/>
              </w:rPr>
              <w:t>Interpreters and cultural advisers engaged</w:t>
            </w:r>
          </w:p>
        </w:tc>
      </w:tr>
      <w:tr w14:paraId="7F64CF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30" w:type="dxa"/>
            <w:left w:w="80" w:type="dxa"/>
            <w:bottom w:w="30" w:type="dxa"/>
            <w:right w:w="80" w:type="dxa"/>
          </w:tblCellMar>
        </w:tblPrEx>
        <w:tc>
          <w:tcPr>
            <w:tcW w:w="2494" w:type="dxa"/>
            <w:shd w:val="clear" w:color="auto" w:fill="E8F4FD"/>
          </w:tcPr>
          <w:p w14:paraId="4F3533BF">
            <w:pPr>
              <w:spacing w:before="20" w:after="20" w:line="240" w:lineRule="auto"/>
            </w:pPr>
            <w:r>
              <w:rPr>
                <w:b/>
                <w:color w:val="002B49"/>
                <w:sz w:val="19"/>
              </w:rPr>
              <w:t>Verification Status</w:t>
            </w:r>
          </w:p>
        </w:tc>
        <w:tc>
          <w:tcPr>
            <w:tcW w:w="7143" w:type="dxa"/>
          </w:tcPr>
          <w:p w14:paraId="41ECA3FE">
            <w:pPr>
              <w:spacing w:before="20" w:after="20" w:line="240" w:lineRule="auto"/>
            </w:pPr>
            <w:r>
              <w:rPr>
                <w:sz w:val="19"/>
                <w:lang w:val="en-US"/>
              </w:rPr>
              <w:t>REQUIRES VERIFICATION</w:t>
            </w:r>
            <w:r>
              <w:rPr>
                <w:sz w:val="19"/>
              </w:rPr>
              <w:t xml:space="preserve"> — current provider information + Home Affairs SETS listing</w:t>
            </w:r>
          </w:p>
        </w:tc>
      </w:tr>
    </w:tbl>
    <w:p w14:paraId="091A80E8">
      <w:pPr>
        <w:pStyle w:val="4"/>
      </w:pPr>
      <w:r>
        <w:rPr>
          <w:color w:val="002B49"/>
        </w:rPr>
        <w:t>MultiLink Community Services Inc — SETS / Refugee and Humanitarian Entrant Settlement Program</w:t>
      </w:r>
    </w:p>
    <w:tbl>
      <w:tblPr>
        <w:tblStyle w:val="3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30" w:type="dxa"/>
          <w:left w:w="80" w:type="dxa"/>
          <w:bottom w:w="30" w:type="dxa"/>
          <w:right w:w="80" w:type="dxa"/>
        </w:tblCellMar>
      </w:tblPr>
      <w:tblGrid>
        <w:gridCol w:w="4819"/>
        <w:gridCol w:w="4819"/>
      </w:tblGrid>
      <w:tr w14:paraId="38E3F4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30" w:type="dxa"/>
            <w:left w:w="80" w:type="dxa"/>
            <w:bottom w:w="30" w:type="dxa"/>
            <w:right w:w="80" w:type="dxa"/>
          </w:tblCellMar>
        </w:tblPrEx>
        <w:tc>
          <w:tcPr>
            <w:tcW w:w="2494" w:type="dxa"/>
            <w:shd w:val="clear" w:color="auto" w:fill="E8F4FD"/>
          </w:tcPr>
          <w:p w14:paraId="6398D931">
            <w:pPr>
              <w:spacing w:before="20" w:after="20" w:line="240" w:lineRule="auto"/>
            </w:pPr>
            <w:r>
              <w:rPr>
                <w:b/>
                <w:color w:val="002B49"/>
                <w:sz w:val="19"/>
              </w:rPr>
              <w:t>Organisation</w:t>
            </w:r>
          </w:p>
        </w:tc>
        <w:tc>
          <w:tcPr>
            <w:tcW w:w="7143" w:type="dxa"/>
          </w:tcPr>
          <w:p w14:paraId="501B7F28">
            <w:pPr>
              <w:spacing w:before="20" w:after="20" w:line="240" w:lineRule="auto"/>
            </w:pPr>
            <w:r>
              <w:rPr>
                <w:sz w:val="19"/>
              </w:rPr>
              <w:t>MultiLink Community Services Inc</w:t>
            </w:r>
          </w:p>
        </w:tc>
      </w:tr>
      <w:tr w14:paraId="5D7047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30" w:type="dxa"/>
            <w:left w:w="80" w:type="dxa"/>
            <w:bottom w:w="30" w:type="dxa"/>
            <w:right w:w="80" w:type="dxa"/>
          </w:tblCellMar>
        </w:tblPrEx>
        <w:tc>
          <w:tcPr>
            <w:tcW w:w="2494" w:type="dxa"/>
            <w:shd w:val="clear" w:color="auto" w:fill="E8F4FD"/>
          </w:tcPr>
          <w:p w14:paraId="7B8D692F">
            <w:pPr>
              <w:spacing w:before="20" w:after="20" w:line="240" w:lineRule="auto"/>
            </w:pPr>
            <w:r>
              <w:rPr>
                <w:b/>
                <w:color w:val="002B49"/>
                <w:sz w:val="19"/>
              </w:rPr>
              <w:t>Service Category</w:t>
            </w:r>
          </w:p>
        </w:tc>
        <w:tc>
          <w:tcPr>
            <w:tcW w:w="7143" w:type="dxa"/>
          </w:tcPr>
          <w:p w14:paraId="72F7B5B8">
            <w:pPr>
              <w:spacing w:before="20" w:after="20" w:line="240" w:lineRule="auto"/>
            </w:pPr>
            <w:r>
              <w:rPr>
                <w:sz w:val="19"/>
              </w:rPr>
              <w:t>Settlement support; case management; community capacity building</w:t>
            </w:r>
          </w:p>
        </w:tc>
      </w:tr>
      <w:tr w14:paraId="425A78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30" w:type="dxa"/>
            <w:left w:w="80" w:type="dxa"/>
            <w:bottom w:w="30" w:type="dxa"/>
            <w:right w:w="80" w:type="dxa"/>
          </w:tblCellMar>
        </w:tblPrEx>
        <w:tc>
          <w:tcPr>
            <w:tcW w:w="2494" w:type="dxa"/>
            <w:shd w:val="clear" w:color="auto" w:fill="E8F4FD"/>
          </w:tcPr>
          <w:p w14:paraId="7492A26E">
            <w:pPr>
              <w:spacing w:before="20" w:after="20" w:line="240" w:lineRule="auto"/>
            </w:pPr>
            <w:r>
              <w:rPr>
                <w:b/>
                <w:color w:val="002B49"/>
                <w:sz w:val="19"/>
              </w:rPr>
              <w:t>Program / Service</w:t>
            </w:r>
          </w:p>
        </w:tc>
        <w:tc>
          <w:tcPr>
            <w:tcW w:w="7143" w:type="dxa"/>
          </w:tcPr>
          <w:p w14:paraId="6E082FE2">
            <w:pPr>
              <w:spacing w:before="20" w:after="20" w:line="240" w:lineRule="auto"/>
            </w:pPr>
            <w:r>
              <w:rPr>
                <w:sz w:val="19"/>
              </w:rPr>
              <w:t>Refugee and Humanitarian Entrant Settlement Program / SETS</w:t>
            </w:r>
          </w:p>
        </w:tc>
      </w:tr>
      <w:tr w14:paraId="1BE195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30" w:type="dxa"/>
            <w:left w:w="80" w:type="dxa"/>
            <w:bottom w:w="30" w:type="dxa"/>
            <w:right w:w="80" w:type="dxa"/>
          </w:tblCellMar>
        </w:tblPrEx>
        <w:tc>
          <w:tcPr>
            <w:tcW w:w="2494" w:type="dxa"/>
            <w:shd w:val="clear" w:color="auto" w:fill="E8F4FD"/>
          </w:tcPr>
          <w:p w14:paraId="1DA9FC94">
            <w:pPr>
              <w:spacing w:before="20" w:after="20" w:line="240" w:lineRule="auto"/>
            </w:pPr>
            <w:r>
              <w:rPr>
                <w:b/>
                <w:color w:val="002B49"/>
                <w:sz w:val="19"/>
              </w:rPr>
              <w:t>Service Description</w:t>
            </w:r>
          </w:p>
        </w:tc>
        <w:tc>
          <w:tcPr>
            <w:tcW w:w="7143" w:type="dxa"/>
          </w:tcPr>
          <w:p w14:paraId="08D3CEAC">
            <w:pPr>
              <w:spacing w:before="20" w:after="20" w:line="240" w:lineRule="auto"/>
            </w:pPr>
            <w:r>
              <w:rPr>
                <w:sz w:val="19"/>
              </w:rPr>
              <w:t>Low- and medium-intensity case management, information sessions, workshops, groups, social connection and settlement assistance.</w:t>
            </w:r>
          </w:p>
        </w:tc>
      </w:tr>
      <w:tr w14:paraId="2D0D7A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30" w:type="dxa"/>
            <w:left w:w="80" w:type="dxa"/>
            <w:bottom w:w="30" w:type="dxa"/>
            <w:right w:w="80" w:type="dxa"/>
          </w:tblCellMar>
        </w:tblPrEx>
        <w:tc>
          <w:tcPr>
            <w:tcW w:w="2494" w:type="dxa"/>
            <w:shd w:val="clear" w:color="auto" w:fill="E8F4FD"/>
          </w:tcPr>
          <w:p w14:paraId="40B3EB61">
            <w:pPr>
              <w:spacing w:before="20" w:after="20" w:line="240" w:lineRule="auto"/>
            </w:pPr>
            <w:r>
              <w:rPr>
                <w:b/>
                <w:color w:val="002B49"/>
                <w:sz w:val="19"/>
              </w:rPr>
              <w:t>Who They Support</w:t>
            </w:r>
          </w:p>
        </w:tc>
        <w:tc>
          <w:tcPr>
            <w:tcW w:w="7143" w:type="dxa"/>
          </w:tcPr>
          <w:p w14:paraId="1D167041">
            <w:pPr>
              <w:spacing w:before="20" w:after="20" w:line="240" w:lineRule="auto"/>
            </w:pPr>
            <w:r>
              <w:rPr>
                <w:sz w:val="19"/>
              </w:rPr>
              <w:t>Refugees, humanitarian entrants and other eligible vulnerable migrants under SETS eligibility</w:t>
            </w:r>
          </w:p>
        </w:tc>
      </w:tr>
      <w:tr w14:paraId="54D76F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30" w:type="dxa"/>
            <w:left w:w="80" w:type="dxa"/>
            <w:bottom w:w="30" w:type="dxa"/>
            <w:right w:w="80" w:type="dxa"/>
          </w:tblCellMar>
        </w:tblPrEx>
        <w:tc>
          <w:tcPr>
            <w:tcW w:w="2494" w:type="dxa"/>
            <w:shd w:val="clear" w:color="auto" w:fill="E8F4FD"/>
          </w:tcPr>
          <w:p w14:paraId="080FD152">
            <w:pPr>
              <w:spacing w:before="20" w:after="20" w:line="240" w:lineRule="auto"/>
            </w:pPr>
            <w:r>
              <w:rPr>
                <w:b/>
                <w:color w:val="002B49"/>
                <w:sz w:val="19"/>
              </w:rPr>
              <w:t>Address</w:t>
            </w:r>
          </w:p>
        </w:tc>
        <w:tc>
          <w:tcPr>
            <w:tcW w:w="7143" w:type="dxa"/>
          </w:tcPr>
          <w:p w14:paraId="15D32D51">
            <w:pPr>
              <w:spacing w:before="20" w:after="20" w:line="240" w:lineRule="auto"/>
            </w:pPr>
            <w:r>
              <w:rPr>
                <w:sz w:val="19"/>
              </w:rPr>
              <w:t>38 Blackwood Road, Logan Central QLD 4114</w:t>
            </w:r>
          </w:p>
        </w:tc>
      </w:tr>
      <w:tr w14:paraId="5785F9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30" w:type="dxa"/>
            <w:left w:w="80" w:type="dxa"/>
            <w:bottom w:w="30" w:type="dxa"/>
            <w:right w:w="80" w:type="dxa"/>
          </w:tblCellMar>
        </w:tblPrEx>
        <w:tc>
          <w:tcPr>
            <w:tcW w:w="2494" w:type="dxa"/>
            <w:shd w:val="clear" w:color="auto" w:fill="E8F4FD"/>
          </w:tcPr>
          <w:p w14:paraId="20F01B46">
            <w:pPr>
              <w:spacing w:before="20" w:after="20" w:line="240" w:lineRule="auto"/>
            </w:pPr>
            <w:r>
              <w:rPr>
                <w:b/>
                <w:color w:val="002B49"/>
                <w:sz w:val="19"/>
              </w:rPr>
              <w:t>Phone</w:t>
            </w:r>
          </w:p>
        </w:tc>
        <w:tc>
          <w:tcPr>
            <w:tcW w:w="7143" w:type="dxa"/>
          </w:tcPr>
          <w:p w14:paraId="24BBD1E3">
            <w:pPr>
              <w:spacing w:before="20" w:after="20" w:line="240" w:lineRule="auto"/>
            </w:pPr>
            <w:r>
              <w:rPr>
                <w:sz w:val="19"/>
              </w:rPr>
              <w:t>07 3808 4463</w:t>
            </w:r>
          </w:p>
        </w:tc>
      </w:tr>
      <w:tr w14:paraId="3A8A4B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30" w:type="dxa"/>
            <w:left w:w="80" w:type="dxa"/>
            <w:bottom w:w="30" w:type="dxa"/>
            <w:right w:w="80" w:type="dxa"/>
          </w:tblCellMar>
        </w:tblPrEx>
        <w:tc>
          <w:tcPr>
            <w:tcW w:w="2494" w:type="dxa"/>
            <w:shd w:val="clear" w:color="auto" w:fill="E8F4FD"/>
          </w:tcPr>
          <w:p w14:paraId="10E4150D">
            <w:pPr>
              <w:spacing w:before="20" w:after="20" w:line="240" w:lineRule="auto"/>
            </w:pPr>
            <w:r>
              <w:rPr>
                <w:b/>
                <w:color w:val="002B49"/>
                <w:sz w:val="19"/>
              </w:rPr>
              <w:t>Email</w:t>
            </w:r>
          </w:p>
        </w:tc>
        <w:tc>
          <w:tcPr>
            <w:tcW w:w="7143" w:type="dxa"/>
          </w:tcPr>
          <w:p w14:paraId="54FD86E5">
            <w:pPr>
              <w:spacing w:before="20" w:after="20" w:line="240" w:lineRule="auto"/>
            </w:pPr>
            <w:r>
              <w:rPr>
                <w:sz w:val="19"/>
              </w:rPr>
              <w:t>reception@multilink.org.au</w:t>
            </w:r>
          </w:p>
        </w:tc>
      </w:tr>
      <w:tr w14:paraId="2581A7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30" w:type="dxa"/>
            <w:left w:w="80" w:type="dxa"/>
            <w:bottom w:w="30" w:type="dxa"/>
            <w:right w:w="80" w:type="dxa"/>
          </w:tblCellMar>
        </w:tblPrEx>
        <w:tc>
          <w:tcPr>
            <w:tcW w:w="2494" w:type="dxa"/>
            <w:shd w:val="clear" w:color="auto" w:fill="E8F4FD"/>
          </w:tcPr>
          <w:p w14:paraId="62E23B76">
            <w:pPr>
              <w:spacing w:before="20" w:after="20" w:line="240" w:lineRule="auto"/>
            </w:pPr>
            <w:r>
              <w:rPr>
                <w:b/>
                <w:color w:val="002B49"/>
                <w:sz w:val="19"/>
              </w:rPr>
              <w:t>Website</w:t>
            </w:r>
          </w:p>
        </w:tc>
        <w:tc>
          <w:tcPr>
            <w:tcW w:w="7143" w:type="dxa"/>
          </w:tcPr>
          <w:p w14:paraId="6A3E23B2">
            <w:pPr>
              <w:spacing w:before="20" w:after="20" w:line="240" w:lineRule="auto"/>
            </w:pPr>
            <w:r>
              <w:fldChar w:fldCharType="begin"/>
            </w:r>
            <w:r>
              <w:instrText xml:space="preserve"> HYPERLINK "https://multilink.org.au" \h </w:instrText>
            </w:r>
            <w:r>
              <w:fldChar w:fldCharType="separate"/>
            </w:r>
            <w:r>
              <w:rPr>
                <w:rFonts w:ascii="Calibri" w:hAnsi="Calibri"/>
                <w:color w:val="0066CC"/>
                <w:sz w:val="19"/>
                <w:u w:val="single"/>
              </w:rPr>
              <w:t>https://multilink.org.au</w:t>
            </w:r>
            <w:r>
              <w:rPr>
                <w:rFonts w:ascii="Calibri" w:hAnsi="Calibri"/>
                <w:color w:val="0066CC"/>
                <w:sz w:val="19"/>
                <w:u w:val="single"/>
              </w:rPr>
              <w:fldChar w:fldCharType="end"/>
            </w:r>
          </w:p>
        </w:tc>
      </w:tr>
      <w:tr w14:paraId="17A083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30" w:type="dxa"/>
            <w:left w:w="80" w:type="dxa"/>
            <w:bottom w:w="30" w:type="dxa"/>
            <w:right w:w="80" w:type="dxa"/>
          </w:tblCellMar>
        </w:tblPrEx>
        <w:tc>
          <w:tcPr>
            <w:tcW w:w="2494" w:type="dxa"/>
            <w:shd w:val="clear" w:color="auto" w:fill="E8F4FD"/>
          </w:tcPr>
          <w:p w14:paraId="56C00742">
            <w:pPr>
              <w:spacing w:before="20" w:after="20" w:line="240" w:lineRule="auto"/>
            </w:pPr>
            <w:r>
              <w:rPr>
                <w:b/>
                <w:color w:val="002B49"/>
                <w:sz w:val="19"/>
              </w:rPr>
              <w:t>Referral / Intake</w:t>
            </w:r>
          </w:p>
        </w:tc>
        <w:tc>
          <w:tcPr>
            <w:tcW w:w="7143" w:type="dxa"/>
          </w:tcPr>
          <w:p w14:paraId="7BDE2BE7">
            <w:pPr>
              <w:spacing w:before="20" w:after="20" w:line="240" w:lineRule="auto"/>
            </w:pPr>
            <w:r>
              <w:rPr>
                <w:sz w:val="19"/>
              </w:rPr>
              <w:t>Contact the Settlement team by phone or reception email</w:t>
            </w:r>
          </w:p>
        </w:tc>
      </w:tr>
      <w:tr w14:paraId="1369FA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30" w:type="dxa"/>
            <w:left w:w="80" w:type="dxa"/>
            <w:bottom w:w="30" w:type="dxa"/>
            <w:right w:w="80" w:type="dxa"/>
          </w:tblCellMar>
        </w:tblPrEx>
        <w:tc>
          <w:tcPr>
            <w:tcW w:w="2494" w:type="dxa"/>
            <w:shd w:val="clear" w:color="auto" w:fill="E8F4FD"/>
          </w:tcPr>
          <w:p w14:paraId="716AE83F">
            <w:pPr>
              <w:spacing w:before="20" w:after="20" w:line="240" w:lineRule="auto"/>
            </w:pPr>
            <w:r>
              <w:rPr>
                <w:b/>
                <w:color w:val="002B49"/>
                <w:sz w:val="19"/>
              </w:rPr>
              <w:t>Self-Referral</w:t>
            </w:r>
          </w:p>
        </w:tc>
        <w:tc>
          <w:tcPr>
            <w:tcW w:w="7143" w:type="dxa"/>
          </w:tcPr>
          <w:p w14:paraId="358DFF07">
            <w:pPr>
              <w:spacing w:before="20" w:after="20" w:line="240" w:lineRule="auto"/>
            </w:pPr>
            <w:r>
              <w:rPr>
                <w:sz w:val="19"/>
              </w:rPr>
              <w:t>Yes — direct enquiry accepted</w:t>
            </w:r>
          </w:p>
        </w:tc>
      </w:tr>
      <w:tr w14:paraId="0AE165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30" w:type="dxa"/>
            <w:left w:w="80" w:type="dxa"/>
            <w:bottom w:w="30" w:type="dxa"/>
            <w:right w:w="80" w:type="dxa"/>
          </w:tblCellMar>
        </w:tblPrEx>
        <w:tc>
          <w:tcPr>
            <w:tcW w:w="2494" w:type="dxa"/>
            <w:shd w:val="clear" w:color="auto" w:fill="E8F4FD"/>
          </w:tcPr>
          <w:p w14:paraId="7A67B9B5">
            <w:pPr>
              <w:spacing w:before="20" w:after="20" w:line="240" w:lineRule="auto"/>
            </w:pPr>
            <w:r>
              <w:rPr>
                <w:b/>
                <w:color w:val="002B49"/>
                <w:sz w:val="19"/>
              </w:rPr>
              <w:t>Coverage</w:t>
            </w:r>
          </w:p>
        </w:tc>
        <w:tc>
          <w:tcPr>
            <w:tcW w:w="7143" w:type="dxa"/>
          </w:tcPr>
          <w:p w14:paraId="54B2B986">
            <w:pPr>
              <w:spacing w:before="20" w:after="20" w:line="240" w:lineRule="auto"/>
            </w:pPr>
            <w:r>
              <w:rPr>
                <w:sz w:val="19"/>
              </w:rPr>
              <w:t>Logan — Logan Central, Kingston, Browns Plains, Underwood, Springwood, Slacks Creek, Beenleigh, Yarrabilba and surrounding Logan areas</w:t>
            </w:r>
          </w:p>
        </w:tc>
      </w:tr>
      <w:tr w14:paraId="75E240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30" w:type="dxa"/>
            <w:left w:w="80" w:type="dxa"/>
            <w:bottom w:w="30" w:type="dxa"/>
            <w:right w:w="80" w:type="dxa"/>
          </w:tblCellMar>
        </w:tblPrEx>
        <w:tc>
          <w:tcPr>
            <w:tcW w:w="2494" w:type="dxa"/>
            <w:shd w:val="clear" w:color="auto" w:fill="E8F4FD"/>
          </w:tcPr>
          <w:p w14:paraId="3861306E">
            <w:pPr>
              <w:spacing w:before="20" w:after="20" w:line="240" w:lineRule="auto"/>
            </w:pPr>
            <w:r>
              <w:rPr>
                <w:b/>
                <w:color w:val="002B49"/>
                <w:sz w:val="19"/>
              </w:rPr>
              <w:t>Languages / Interpreters</w:t>
            </w:r>
          </w:p>
        </w:tc>
        <w:tc>
          <w:tcPr>
            <w:tcW w:w="7143" w:type="dxa"/>
          </w:tcPr>
          <w:p w14:paraId="2A1226D8">
            <w:pPr>
              <w:spacing w:before="20" w:after="20" w:line="240" w:lineRule="auto"/>
            </w:pPr>
            <w:r>
              <w:rPr>
                <w:sz w:val="19"/>
              </w:rPr>
              <w:t>Multilingual/bicultural workforce</w:t>
            </w:r>
          </w:p>
        </w:tc>
      </w:tr>
      <w:tr w14:paraId="27FDD2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30" w:type="dxa"/>
            <w:left w:w="80" w:type="dxa"/>
            <w:bottom w:w="30" w:type="dxa"/>
            <w:right w:w="80" w:type="dxa"/>
          </w:tblCellMar>
        </w:tblPrEx>
        <w:tc>
          <w:tcPr>
            <w:tcW w:w="2494" w:type="dxa"/>
            <w:shd w:val="clear" w:color="auto" w:fill="E8F4FD"/>
          </w:tcPr>
          <w:p w14:paraId="13D72BC5">
            <w:pPr>
              <w:spacing w:before="20" w:after="20" w:line="240" w:lineRule="auto"/>
            </w:pPr>
            <w:r>
              <w:rPr>
                <w:b/>
                <w:color w:val="002B49"/>
                <w:sz w:val="19"/>
              </w:rPr>
              <w:t>Verification Status</w:t>
            </w:r>
          </w:p>
        </w:tc>
        <w:tc>
          <w:tcPr>
            <w:tcW w:w="7143" w:type="dxa"/>
          </w:tcPr>
          <w:p w14:paraId="0164760F">
            <w:pPr>
              <w:spacing w:before="20" w:after="20" w:line="240" w:lineRule="auto"/>
            </w:pPr>
            <w:r>
              <w:rPr>
                <w:sz w:val="19"/>
                <w:lang w:val="en-US"/>
              </w:rPr>
              <w:t>REQUIRES VERIFICATION</w:t>
            </w:r>
            <w:r>
              <w:rPr>
                <w:sz w:val="19"/>
              </w:rPr>
              <w:t xml:space="preserve"> — provider + current Home Affairs SETS listing</w:t>
            </w:r>
          </w:p>
        </w:tc>
      </w:tr>
    </w:tbl>
    <w:p w14:paraId="546C45C2">
      <w:pPr>
        <w:pStyle w:val="4"/>
      </w:pPr>
      <w:r>
        <w:rPr>
          <w:color w:val="002B49"/>
        </w:rPr>
        <w:t>QPASTT — Specialist Refugee Trauma Recovery (SETS-listed)</w:t>
      </w:r>
    </w:p>
    <w:tbl>
      <w:tblPr>
        <w:tblStyle w:val="3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30" w:type="dxa"/>
          <w:left w:w="80" w:type="dxa"/>
          <w:bottom w:w="30" w:type="dxa"/>
          <w:right w:w="80" w:type="dxa"/>
        </w:tblCellMar>
      </w:tblPr>
      <w:tblGrid>
        <w:gridCol w:w="4819"/>
        <w:gridCol w:w="4819"/>
      </w:tblGrid>
      <w:tr w14:paraId="03748F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30" w:type="dxa"/>
            <w:left w:w="80" w:type="dxa"/>
            <w:bottom w:w="30" w:type="dxa"/>
            <w:right w:w="80" w:type="dxa"/>
          </w:tblCellMar>
        </w:tblPrEx>
        <w:tc>
          <w:tcPr>
            <w:tcW w:w="2494" w:type="dxa"/>
            <w:shd w:val="clear" w:color="auto" w:fill="E8F4FD"/>
          </w:tcPr>
          <w:p w14:paraId="6B0CFCAA">
            <w:pPr>
              <w:spacing w:before="20" w:after="20" w:line="240" w:lineRule="auto"/>
            </w:pPr>
            <w:r>
              <w:rPr>
                <w:b/>
                <w:color w:val="002B49"/>
                <w:sz w:val="19"/>
              </w:rPr>
              <w:t>Organisation</w:t>
            </w:r>
          </w:p>
        </w:tc>
        <w:tc>
          <w:tcPr>
            <w:tcW w:w="7143" w:type="dxa"/>
          </w:tcPr>
          <w:p w14:paraId="204B85A5">
            <w:pPr>
              <w:spacing w:before="20" w:after="20" w:line="240" w:lineRule="auto"/>
            </w:pPr>
            <w:r>
              <w:rPr>
                <w:sz w:val="19"/>
              </w:rPr>
              <w:t>QPASTT (Queensland Program of Assistance to Survivors of Torture and Trauma)</w:t>
            </w:r>
          </w:p>
        </w:tc>
      </w:tr>
      <w:tr w14:paraId="6FE64E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30" w:type="dxa"/>
            <w:left w:w="80" w:type="dxa"/>
            <w:bottom w:w="30" w:type="dxa"/>
            <w:right w:w="80" w:type="dxa"/>
          </w:tblCellMar>
        </w:tblPrEx>
        <w:tc>
          <w:tcPr>
            <w:tcW w:w="2494" w:type="dxa"/>
            <w:shd w:val="clear" w:color="auto" w:fill="E8F4FD"/>
          </w:tcPr>
          <w:p w14:paraId="6B7DA4E0">
            <w:pPr>
              <w:spacing w:before="20" w:after="20" w:line="240" w:lineRule="auto"/>
            </w:pPr>
            <w:r>
              <w:rPr>
                <w:b/>
                <w:color w:val="002B49"/>
                <w:sz w:val="19"/>
              </w:rPr>
              <w:t>Service Category</w:t>
            </w:r>
          </w:p>
        </w:tc>
        <w:tc>
          <w:tcPr>
            <w:tcW w:w="7143" w:type="dxa"/>
          </w:tcPr>
          <w:p w14:paraId="37B17999">
            <w:pPr>
              <w:spacing w:before="20" w:after="20" w:line="240" w:lineRule="auto"/>
            </w:pPr>
            <w:r>
              <w:rPr>
                <w:sz w:val="19"/>
              </w:rPr>
              <w:t>Specialist refugee trauma recovery; counselling; youth/community support; settlement-linked support</w:t>
            </w:r>
          </w:p>
        </w:tc>
      </w:tr>
      <w:tr w14:paraId="5059F6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30" w:type="dxa"/>
            <w:left w:w="80" w:type="dxa"/>
            <w:bottom w:w="30" w:type="dxa"/>
            <w:right w:w="80" w:type="dxa"/>
          </w:tblCellMar>
        </w:tblPrEx>
        <w:tc>
          <w:tcPr>
            <w:tcW w:w="2494" w:type="dxa"/>
            <w:shd w:val="clear" w:color="auto" w:fill="E8F4FD"/>
          </w:tcPr>
          <w:p w14:paraId="4B8735AD">
            <w:pPr>
              <w:spacing w:before="20" w:after="20" w:line="240" w:lineRule="auto"/>
            </w:pPr>
            <w:r>
              <w:rPr>
                <w:b/>
                <w:color w:val="002B49"/>
                <w:sz w:val="19"/>
              </w:rPr>
              <w:t>Program / Service</w:t>
            </w:r>
          </w:p>
        </w:tc>
        <w:tc>
          <w:tcPr>
            <w:tcW w:w="7143" w:type="dxa"/>
          </w:tcPr>
          <w:p w14:paraId="07D6D2F9">
            <w:pPr>
              <w:spacing w:before="20" w:after="20" w:line="240" w:lineRule="auto"/>
            </w:pPr>
            <w:r>
              <w:rPr>
                <w:sz w:val="19"/>
              </w:rPr>
              <w:t>SETS provider / trauma recovery services</w:t>
            </w:r>
          </w:p>
        </w:tc>
      </w:tr>
      <w:tr w14:paraId="255129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30" w:type="dxa"/>
            <w:left w:w="80" w:type="dxa"/>
            <w:bottom w:w="30" w:type="dxa"/>
            <w:right w:w="80" w:type="dxa"/>
          </w:tblCellMar>
        </w:tblPrEx>
        <w:tc>
          <w:tcPr>
            <w:tcW w:w="2494" w:type="dxa"/>
            <w:shd w:val="clear" w:color="auto" w:fill="E8F4FD"/>
          </w:tcPr>
          <w:p w14:paraId="52E1DB12">
            <w:pPr>
              <w:spacing w:before="20" w:after="20" w:line="240" w:lineRule="auto"/>
            </w:pPr>
            <w:r>
              <w:rPr>
                <w:b/>
                <w:color w:val="002B49"/>
                <w:sz w:val="19"/>
              </w:rPr>
              <w:t>Service Description</w:t>
            </w:r>
          </w:p>
        </w:tc>
        <w:tc>
          <w:tcPr>
            <w:tcW w:w="7143" w:type="dxa"/>
          </w:tcPr>
          <w:p w14:paraId="2AE3FC01">
            <w:pPr>
              <w:spacing w:before="20" w:after="20" w:line="240" w:lineRule="auto"/>
            </w:pPr>
            <w:r>
              <w:rPr>
                <w:sz w:val="19"/>
              </w:rPr>
              <w:t>Free confidential counselling, youth work, group engagement, advocacy, community-based healing and trauma recovery for people from refugee backgrounds.</w:t>
            </w:r>
          </w:p>
        </w:tc>
      </w:tr>
      <w:tr w14:paraId="6977A3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30" w:type="dxa"/>
            <w:left w:w="80" w:type="dxa"/>
            <w:bottom w:w="30" w:type="dxa"/>
            <w:right w:w="80" w:type="dxa"/>
          </w:tblCellMar>
        </w:tblPrEx>
        <w:tc>
          <w:tcPr>
            <w:tcW w:w="2494" w:type="dxa"/>
            <w:shd w:val="clear" w:color="auto" w:fill="E8F4FD"/>
          </w:tcPr>
          <w:p w14:paraId="25423379">
            <w:pPr>
              <w:spacing w:before="20" w:after="20" w:line="240" w:lineRule="auto"/>
            </w:pPr>
            <w:r>
              <w:rPr>
                <w:b/>
                <w:color w:val="002B49"/>
                <w:sz w:val="19"/>
              </w:rPr>
              <w:t>Who They Support</w:t>
            </w:r>
          </w:p>
        </w:tc>
        <w:tc>
          <w:tcPr>
            <w:tcW w:w="7143" w:type="dxa"/>
          </w:tcPr>
          <w:p w14:paraId="667B8F22">
            <w:pPr>
              <w:spacing w:before="20" w:after="20" w:line="240" w:lineRule="auto"/>
            </w:pPr>
            <w:r>
              <w:rPr>
                <w:sz w:val="19"/>
              </w:rPr>
              <w:t>Refugees, asylum seekers and refugee-background children, young people, adults and families affected by torture and/or trauma</w:t>
            </w:r>
          </w:p>
        </w:tc>
      </w:tr>
      <w:tr w14:paraId="49DF0C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30" w:type="dxa"/>
            <w:left w:w="80" w:type="dxa"/>
            <w:bottom w:w="30" w:type="dxa"/>
            <w:right w:w="80" w:type="dxa"/>
          </w:tblCellMar>
        </w:tblPrEx>
        <w:tc>
          <w:tcPr>
            <w:tcW w:w="2494" w:type="dxa"/>
            <w:shd w:val="clear" w:color="auto" w:fill="E8F4FD"/>
          </w:tcPr>
          <w:p w14:paraId="6110F004">
            <w:pPr>
              <w:spacing w:before="20" w:after="20" w:line="240" w:lineRule="auto"/>
            </w:pPr>
            <w:r>
              <w:rPr>
                <w:b/>
                <w:color w:val="002B49"/>
                <w:sz w:val="19"/>
              </w:rPr>
              <w:t>Eligibility</w:t>
            </w:r>
          </w:p>
        </w:tc>
        <w:tc>
          <w:tcPr>
            <w:tcW w:w="7143" w:type="dxa"/>
          </w:tcPr>
          <w:p w14:paraId="5D604CBB">
            <w:pPr>
              <w:spacing w:before="20" w:after="20" w:line="240" w:lineRule="auto"/>
            </w:pPr>
            <w:r>
              <w:rPr>
                <w:sz w:val="19"/>
              </w:rPr>
              <w:t>Queensland resident; refugee or refugee-like background; history of torture and/or pre-arrival trauma; associated psychological/psychosocial difficulty; consent</w:t>
            </w:r>
          </w:p>
        </w:tc>
      </w:tr>
      <w:tr w14:paraId="0E33F1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30" w:type="dxa"/>
            <w:left w:w="80" w:type="dxa"/>
            <w:bottom w:w="30" w:type="dxa"/>
            <w:right w:w="80" w:type="dxa"/>
          </w:tblCellMar>
        </w:tblPrEx>
        <w:tc>
          <w:tcPr>
            <w:tcW w:w="2494" w:type="dxa"/>
            <w:shd w:val="clear" w:color="auto" w:fill="E8F4FD"/>
          </w:tcPr>
          <w:p w14:paraId="4FD5E93E">
            <w:pPr>
              <w:spacing w:before="20" w:after="20" w:line="240" w:lineRule="auto"/>
            </w:pPr>
            <w:r>
              <w:rPr>
                <w:b/>
                <w:color w:val="002B49"/>
                <w:sz w:val="19"/>
              </w:rPr>
              <w:t>Address</w:t>
            </w:r>
          </w:p>
        </w:tc>
        <w:tc>
          <w:tcPr>
            <w:tcW w:w="7143" w:type="dxa"/>
          </w:tcPr>
          <w:p w14:paraId="601EA500">
            <w:pPr>
              <w:spacing w:before="20" w:after="20" w:line="240" w:lineRule="auto"/>
            </w:pPr>
            <w:r>
              <w:rPr>
                <w:sz w:val="19"/>
              </w:rPr>
              <w:t>28 Dibley Street, Woolloongabba QLD 4102; Unit 19/390 Kingston Road, Slacks Creek QLD 4127; Youth Space, 84 Wembley Road, Logan Central QLD 4114</w:t>
            </w:r>
          </w:p>
        </w:tc>
      </w:tr>
      <w:tr w14:paraId="64CB4A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30" w:type="dxa"/>
            <w:left w:w="80" w:type="dxa"/>
            <w:bottom w:w="30" w:type="dxa"/>
            <w:right w:w="80" w:type="dxa"/>
          </w:tblCellMar>
        </w:tblPrEx>
        <w:tc>
          <w:tcPr>
            <w:tcW w:w="2494" w:type="dxa"/>
            <w:shd w:val="clear" w:color="auto" w:fill="E8F4FD"/>
          </w:tcPr>
          <w:p w14:paraId="213B93A7">
            <w:pPr>
              <w:spacing w:before="20" w:after="20" w:line="240" w:lineRule="auto"/>
            </w:pPr>
            <w:r>
              <w:rPr>
                <w:b/>
                <w:color w:val="002B49"/>
                <w:sz w:val="19"/>
              </w:rPr>
              <w:t>Phone</w:t>
            </w:r>
          </w:p>
        </w:tc>
        <w:tc>
          <w:tcPr>
            <w:tcW w:w="7143" w:type="dxa"/>
          </w:tcPr>
          <w:p w14:paraId="39F0F7FA">
            <w:pPr>
              <w:spacing w:before="20" w:after="20" w:line="240" w:lineRule="auto"/>
            </w:pPr>
            <w:r>
              <w:rPr>
                <w:sz w:val="19"/>
              </w:rPr>
              <w:t>Brisbane: 07 3391 6677; Logan: 07 3089 4310</w:t>
            </w:r>
          </w:p>
        </w:tc>
      </w:tr>
      <w:tr w14:paraId="5C36CB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30" w:type="dxa"/>
            <w:left w:w="80" w:type="dxa"/>
            <w:bottom w:w="30" w:type="dxa"/>
            <w:right w:w="80" w:type="dxa"/>
          </w:tblCellMar>
        </w:tblPrEx>
        <w:tc>
          <w:tcPr>
            <w:tcW w:w="2494" w:type="dxa"/>
            <w:shd w:val="clear" w:color="auto" w:fill="E8F4FD"/>
          </w:tcPr>
          <w:p w14:paraId="409B970E">
            <w:pPr>
              <w:spacing w:before="20" w:after="20" w:line="240" w:lineRule="auto"/>
            </w:pPr>
            <w:r>
              <w:rPr>
                <w:b/>
                <w:color w:val="002B49"/>
                <w:sz w:val="19"/>
              </w:rPr>
              <w:t>Website</w:t>
            </w:r>
          </w:p>
        </w:tc>
        <w:tc>
          <w:tcPr>
            <w:tcW w:w="7143" w:type="dxa"/>
          </w:tcPr>
          <w:p w14:paraId="26EB5EE1">
            <w:pPr>
              <w:spacing w:before="20" w:after="20" w:line="240" w:lineRule="auto"/>
            </w:pPr>
            <w:r>
              <w:fldChar w:fldCharType="begin"/>
            </w:r>
            <w:r>
              <w:instrText xml:space="preserve"> HYPERLINK "https://qpastt.org.au" \h </w:instrText>
            </w:r>
            <w:r>
              <w:fldChar w:fldCharType="separate"/>
            </w:r>
            <w:r>
              <w:rPr>
                <w:rFonts w:ascii="Calibri" w:hAnsi="Calibri"/>
                <w:color w:val="0066CC"/>
                <w:sz w:val="19"/>
                <w:u w:val="single"/>
              </w:rPr>
              <w:t>https://qpastt.org.au</w:t>
            </w:r>
            <w:r>
              <w:rPr>
                <w:rFonts w:ascii="Calibri" w:hAnsi="Calibri"/>
                <w:color w:val="0066CC"/>
                <w:sz w:val="19"/>
                <w:u w:val="single"/>
              </w:rPr>
              <w:fldChar w:fldCharType="end"/>
            </w:r>
          </w:p>
        </w:tc>
      </w:tr>
      <w:tr w14:paraId="5DA855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30" w:type="dxa"/>
            <w:left w:w="80" w:type="dxa"/>
            <w:bottom w:w="30" w:type="dxa"/>
            <w:right w:w="80" w:type="dxa"/>
          </w:tblCellMar>
        </w:tblPrEx>
        <w:tc>
          <w:tcPr>
            <w:tcW w:w="2494" w:type="dxa"/>
            <w:shd w:val="clear" w:color="auto" w:fill="E8F4FD"/>
          </w:tcPr>
          <w:p w14:paraId="352D6378">
            <w:pPr>
              <w:spacing w:before="20" w:after="20" w:line="240" w:lineRule="auto"/>
            </w:pPr>
            <w:r>
              <w:rPr>
                <w:b/>
                <w:color w:val="002B49"/>
                <w:sz w:val="19"/>
              </w:rPr>
              <w:t>Referral / Intake</w:t>
            </w:r>
          </w:p>
        </w:tc>
        <w:tc>
          <w:tcPr>
            <w:tcW w:w="7143" w:type="dxa"/>
          </w:tcPr>
          <w:p w14:paraId="69828F9D">
            <w:pPr>
              <w:spacing w:before="20" w:after="20" w:line="240" w:lineRule="auto"/>
            </w:pPr>
            <w:r>
              <w:rPr>
                <w:sz w:val="19"/>
              </w:rPr>
              <w:t>Online referral form or call the Duty Officer</w:t>
            </w:r>
          </w:p>
        </w:tc>
      </w:tr>
      <w:tr w14:paraId="434489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30" w:type="dxa"/>
            <w:left w:w="80" w:type="dxa"/>
            <w:bottom w:w="30" w:type="dxa"/>
            <w:right w:w="80" w:type="dxa"/>
          </w:tblCellMar>
        </w:tblPrEx>
        <w:tc>
          <w:tcPr>
            <w:tcW w:w="2494" w:type="dxa"/>
            <w:shd w:val="clear" w:color="auto" w:fill="E8F4FD"/>
          </w:tcPr>
          <w:p w14:paraId="2ACC989F">
            <w:pPr>
              <w:spacing w:before="20" w:after="20" w:line="240" w:lineRule="auto"/>
            </w:pPr>
            <w:r>
              <w:rPr>
                <w:b/>
                <w:color w:val="002B49"/>
                <w:sz w:val="19"/>
              </w:rPr>
              <w:t>Self-Referral</w:t>
            </w:r>
          </w:p>
        </w:tc>
        <w:tc>
          <w:tcPr>
            <w:tcW w:w="7143" w:type="dxa"/>
          </w:tcPr>
          <w:p w14:paraId="57383CAD">
            <w:pPr>
              <w:spacing w:before="20" w:after="20" w:line="240" w:lineRule="auto"/>
            </w:pPr>
            <w:r>
              <w:rPr>
                <w:sz w:val="19"/>
              </w:rPr>
              <w:t>Yes — explicitly permitted</w:t>
            </w:r>
          </w:p>
        </w:tc>
      </w:tr>
      <w:tr w14:paraId="65F9B1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30" w:type="dxa"/>
            <w:left w:w="80" w:type="dxa"/>
            <w:bottom w:w="30" w:type="dxa"/>
            <w:right w:w="80" w:type="dxa"/>
          </w:tblCellMar>
        </w:tblPrEx>
        <w:tc>
          <w:tcPr>
            <w:tcW w:w="2494" w:type="dxa"/>
            <w:shd w:val="clear" w:color="auto" w:fill="E8F4FD"/>
          </w:tcPr>
          <w:p w14:paraId="640EA53B">
            <w:pPr>
              <w:spacing w:before="20" w:after="20" w:line="240" w:lineRule="auto"/>
            </w:pPr>
            <w:r>
              <w:rPr>
                <w:b/>
                <w:color w:val="002B49"/>
                <w:sz w:val="19"/>
              </w:rPr>
              <w:t>Cost</w:t>
            </w:r>
          </w:p>
        </w:tc>
        <w:tc>
          <w:tcPr>
            <w:tcW w:w="7143" w:type="dxa"/>
          </w:tcPr>
          <w:p w14:paraId="3DA5771F">
            <w:pPr>
              <w:spacing w:before="20" w:after="20" w:line="240" w:lineRule="auto"/>
            </w:pPr>
            <w:r>
              <w:rPr>
                <w:sz w:val="19"/>
              </w:rPr>
              <w:t>Free</w:t>
            </w:r>
          </w:p>
        </w:tc>
      </w:tr>
      <w:tr w14:paraId="7CAA67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30" w:type="dxa"/>
            <w:left w:w="80" w:type="dxa"/>
            <w:bottom w:w="30" w:type="dxa"/>
            <w:right w:w="80" w:type="dxa"/>
          </w:tblCellMar>
        </w:tblPrEx>
        <w:tc>
          <w:tcPr>
            <w:tcW w:w="2494" w:type="dxa"/>
            <w:shd w:val="clear" w:color="auto" w:fill="E8F4FD"/>
          </w:tcPr>
          <w:p w14:paraId="48C2BF54">
            <w:pPr>
              <w:spacing w:before="20" w:after="20" w:line="240" w:lineRule="auto"/>
            </w:pPr>
            <w:r>
              <w:rPr>
                <w:b/>
                <w:color w:val="002B49"/>
                <w:sz w:val="19"/>
              </w:rPr>
              <w:t>Languages / Interpreters</w:t>
            </w:r>
          </w:p>
        </w:tc>
        <w:tc>
          <w:tcPr>
            <w:tcW w:w="7143" w:type="dxa"/>
          </w:tcPr>
          <w:p w14:paraId="0836F49A">
            <w:pPr>
              <w:spacing w:before="20" w:after="20" w:line="240" w:lineRule="auto"/>
            </w:pPr>
            <w:r>
              <w:rPr>
                <w:sz w:val="19"/>
              </w:rPr>
              <w:t>Interpreters can be arranged; translated/in-language resources available</w:t>
            </w:r>
          </w:p>
        </w:tc>
      </w:tr>
      <w:tr w14:paraId="4E45FB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30" w:type="dxa"/>
            <w:left w:w="80" w:type="dxa"/>
            <w:bottom w:w="30" w:type="dxa"/>
            <w:right w:w="80" w:type="dxa"/>
          </w:tblCellMar>
        </w:tblPrEx>
        <w:tc>
          <w:tcPr>
            <w:tcW w:w="2494" w:type="dxa"/>
            <w:shd w:val="clear" w:color="auto" w:fill="E8F4FD"/>
          </w:tcPr>
          <w:p w14:paraId="45924665">
            <w:pPr>
              <w:spacing w:before="20" w:after="20" w:line="240" w:lineRule="auto"/>
            </w:pPr>
            <w:r>
              <w:rPr>
                <w:b/>
                <w:color w:val="002B49"/>
                <w:sz w:val="19"/>
              </w:rPr>
              <w:t>Verification Status</w:t>
            </w:r>
          </w:p>
        </w:tc>
        <w:tc>
          <w:tcPr>
            <w:tcW w:w="7143" w:type="dxa"/>
          </w:tcPr>
          <w:p w14:paraId="1F7D7039">
            <w:pPr>
              <w:spacing w:before="20" w:after="20" w:line="240" w:lineRule="auto"/>
            </w:pPr>
            <w:r>
              <w:rPr>
                <w:sz w:val="19"/>
                <w:lang w:val="en-US"/>
              </w:rPr>
              <w:t>REQUIRES VERIFICATION</w:t>
            </w:r>
            <w:r>
              <w:rPr>
                <w:sz w:val="19"/>
              </w:rPr>
              <w:t xml:space="preserve"> — Home Affairs lists QPASTT as a SETS provider; provider service details current. Note: QPASTT's main public service proposition is specialist torture/trauma recovery, not generic settlement casework.</w:t>
            </w:r>
          </w:p>
        </w:tc>
      </w:tr>
    </w:tbl>
    <w:p w14:paraId="0B1211ED">
      <w:pPr>
        <w:pStyle w:val="4"/>
      </w:pPr>
      <w:r>
        <w:rPr>
          <w:color w:val="002B49"/>
        </w:rPr>
        <w:t>IWA Australia — SETS</w:t>
      </w:r>
    </w:p>
    <w:tbl>
      <w:tblPr>
        <w:tblStyle w:val="3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30" w:type="dxa"/>
          <w:left w:w="80" w:type="dxa"/>
          <w:bottom w:w="30" w:type="dxa"/>
          <w:right w:w="80" w:type="dxa"/>
        </w:tblCellMar>
      </w:tblPr>
      <w:tblGrid>
        <w:gridCol w:w="4819"/>
        <w:gridCol w:w="4819"/>
      </w:tblGrid>
      <w:tr w14:paraId="52F5EE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30" w:type="dxa"/>
            <w:left w:w="80" w:type="dxa"/>
            <w:bottom w:w="30" w:type="dxa"/>
            <w:right w:w="80" w:type="dxa"/>
          </w:tblCellMar>
        </w:tblPrEx>
        <w:tc>
          <w:tcPr>
            <w:tcW w:w="2494" w:type="dxa"/>
            <w:shd w:val="clear" w:color="auto" w:fill="E8F4FD"/>
          </w:tcPr>
          <w:p w14:paraId="0991B3F1">
            <w:pPr>
              <w:spacing w:before="20" w:after="20" w:line="240" w:lineRule="auto"/>
            </w:pPr>
            <w:r>
              <w:rPr>
                <w:b/>
                <w:color w:val="002B49"/>
                <w:sz w:val="19"/>
              </w:rPr>
              <w:t>Organisation</w:t>
            </w:r>
          </w:p>
        </w:tc>
        <w:tc>
          <w:tcPr>
            <w:tcW w:w="7143" w:type="dxa"/>
          </w:tcPr>
          <w:p w14:paraId="540E92EC">
            <w:pPr>
              <w:spacing w:before="20" w:after="20" w:line="240" w:lineRule="auto"/>
            </w:pPr>
            <w:r>
              <w:rPr>
                <w:sz w:val="19"/>
              </w:rPr>
              <w:t>IWA Australia (Islamic Women's Association of Australia)</w:t>
            </w:r>
          </w:p>
        </w:tc>
      </w:tr>
      <w:tr w14:paraId="5D0298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30" w:type="dxa"/>
            <w:left w:w="80" w:type="dxa"/>
            <w:bottom w:w="30" w:type="dxa"/>
            <w:right w:w="80" w:type="dxa"/>
          </w:tblCellMar>
        </w:tblPrEx>
        <w:tc>
          <w:tcPr>
            <w:tcW w:w="2494" w:type="dxa"/>
            <w:shd w:val="clear" w:color="auto" w:fill="E8F4FD"/>
          </w:tcPr>
          <w:p w14:paraId="120D6FE5">
            <w:pPr>
              <w:spacing w:before="20" w:after="20" w:line="240" w:lineRule="auto"/>
            </w:pPr>
            <w:r>
              <w:rPr>
                <w:b/>
                <w:color w:val="002B49"/>
                <w:sz w:val="19"/>
              </w:rPr>
              <w:t>Service Category</w:t>
            </w:r>
          </w:p>
        </w:tc>
        <w:tc>
          <w:tcPr>
            <w:tcW w:w="7143" w:type="dxa"/>
          </w:tcPr>
          <w:p w14:paraId="1D2194FB">
            <w:pPr>
              <w:spacing w:before="20" w:after="20" w:line="240" w:lineRule="auto"/>
            </w:pPr>
            <w:r>
              <w:rPr>
                <w:sz w:val="19"/>
              </w:rPr>
              <w:t>Settlement support; casework; community capacity building</w:t>
            </w:r>
          </w:p>
        </w:tc>
      </w:tr>
      <w:tr w14:paraId="0B9201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30" w:type="dxa"/>
            <w:left w:w="80" w:type="dxa"/>
            <w:bottom w:w="30" w:type="dxa"/>
            <w:right w:w="80" w:type="dxa"/>
          </w:tblCellMar>
        </w:tblPrEx>
        <w:tc>
          <w:tcPr>
            <w:tcW w:w="2494" w:type="dxa"/>
            <w:shd w:val="clear" w:color="auto" w:fill="E8F4FD"/>
          </w:tcPr>
          <w:p w14:paraId="4630BBE9">
            <w:pPr>
              <w:spacing w:before="20" w:after="20" w:line="240" w:lineRule="auto"/>
            </w:pPr>
            <w:r>
              <w:rPr>
                <w:b/>
                <w:color w:val="002B49"/>
                <w:sz w:val="19"/>
              </w:rPr>
              <w:t>Program / Service</w:t>
            </w:r>
          </w:p>
        </w:tc>
        <w:tc>
          <w:tcPr>
            <w:tcW w:w="7143" w:type="dxa"/>
          </w:tcPr>
          <w:p w14:paraId="4EF99070">
            <w:pPr>
              <w:spacing w:before="20" w:after="20" w:line="240" w:lineRule="auto"/>
            </w:pPr>
            <w:r>
              <w:rPr>
                <w:sz w:val="19"/>
              </w:rPr>
              <w:t>Settlement Engagement and Transition Support (SETS)</w:t>
            </w:r>
          </w:p>
        </w:tc>
      </w:tr>
      <w:tr w14:paraId="0A5B06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30" w:type="dxa"/>
            <w:left w:w="80" w:type="dxa"/>
            <w:bottom w:w="30" w:type="dxa"/>
            <w:right w:w="80" w:type="dxa"/>
          </w:tblCellMar>
        </w:tblPrEx>
        <w:tc>
          <w:tcPr>
            <w:tcW w:w="2494" w:type="dxa"/>
            <w:shd w:val="clear" w:color="auto" w:fill="E8F4FD"/>
          </w:tcPr>
          <w:p w14:paraId="0689BB00">
            <w:pPr>
              <w:spacing w:before="20" w:after="20" w:line="240" w:lineRule="auto"/>
            </w:pPr>
            <w:r>
              <w:rPr>
                <w:b/>
                <w:color w:val="002B49"/>
                <w:sz w:val="19"/>
              </w:rPr>
              <w:t>Service Description</w:t>
            </w:r>
          </w:p>
        </w:tc>
        <w:tc>
          <w:tcPr>
            <w:tcW w:w="7143" w:type="dxa"/>
          </w:tcPr>
          <w:p w14:paraId="14D01945">
            <w:pPr>
              <w:spacing w:before="20" w:after="20" w:line="240" w:lineRule="auto"/>
            </w:pPr>
            <w:r>
              <w:rPr>
                <w:sz w:val="19"/>
              </w:rPr>
              <w:t>Casework, settlement assistance, information and referrals, advocacy, employment, education, legal/health navigation, housing, financial literacy and community capacity building.</w:t>
            </w:r>
          </w:p>
        </w:tc>
      </w:tr>
      <w:tr w14:paraId="74E5E4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30" w:type="dxa"/>
            <w:left w:w="80" w:type="dxa"/>
            <w:bottom w:w="30" w:type="dxa"/>
            <w:right w:w="80" w:type="dxa"/>
          </w:tblCellMar>
        </w:tblPrEx>
        <w:tc>
          <w:tcPr>
            <w:tcW w:w="2494" w:type="dxa"/>
            <w:shd w:val="clear" w:color="auto" w:fill="E8F4FD"/>
          </w:tcPr>
          <w:p w14:paraId="079832B6">
            <w:pPr>
              <w:spacing w:before="20" w:after="20" w:line="240" w:lineRule="auto"/>
            </w:pPr>
            <w:r>
              <w:rPr>
                <w:b/>
                <w:color w:val="002B49"/>
                <w:sz w:val="19"/>
              </w:rPr>
              <w:t>Who They Support</w:t>
            </w:r>
          </w:p>
        </w:tc>
        <w:tc>
          <w:tcPr>
            <w:tcW w:w="7143" w:type="dxa"/>
          </w:tcPr>
          <w:p w14:paraId="10E6B4E7">
            <w:pPr>
              <w:spacing w:before="20" w:after="20" w:line="240" w:lineRule="auto"/>
            </w:pPr>
            <w:r>
              <w:rPr>
                <w:sz w:val="19"/>
              </w:rPr>
              <w:t>Humanitarian entrants, eligible permanent migrants and their communities</w:t>
            </w:r>
          </w:p>
        </w:tc>
      </w:tr>
      <w:tr w14:paraId="1A36F7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30" w:type="dxa"/>
            <w:left w:w="80" w:type="dxa"/>
            <w:bottom w:w="30" w:type="dxa"/>
            <w:right w:w="80" w:type="dxa"/>
          </w:tblCellMar>
        </w:tblPrEx>
        <w:tc>
          <w:tcPr>
            <w:tcW w:w="2494" w:type="dxa"/>
            <w:shd w:val="clear" w:color="auto" w:fill="E8F4FD"/>
          </w:tcPr>
          <w:p w14:paraId="404C3905">
            <w:pPr>
              <w:spacing w:before="20" w:after="20" w:line="240" w:lineRule="auto"/>
            </w:pPr>
            <w:r>
              <w:rPr>
                <w:b/>
                <w:color w:val="002B49"/>
                <w:sz w:val="19"/>
              </w:rPr>
              <w:t>Address</w:t>
            </w:r>
          </w:p>
        </w:tc>
        <w:tc>
          <w:tcPr>
            <w:tcW w:w="7143" w:type="dxa"/>
          </w:tcPr>
          <w:p w14:paraId="47C14D73">
            <w:pPr>
              <w:spacing w:before="20" w:after="20" w:line="240" w:lineRule="auto"/>
            </w:pPr>
            <w:r>
              <w:rPr>
                <w:sz w:val="19"/>
              </w:rPr>
              <w:t>11 Watland Street, Springwood QLD 4127</w:t>
            </w:r>
          </w:p>
        </w:tc>
      </w:tr>
      <w:tr w14:paraId="22C5DF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30" w:type="dxa"/>
            <w:left w:w="80" w:type="dxa"/>
            <w:bottom w:w="30" w:type="dxa"/>
            <w:right w:w="80" w:type="dxa"/>
          </w:tblCellMar>
        </w:tblPrEx>
        <w:tc>
          <w:tcPr>
            <w:tcW w:w="2494" w:type="dxa"/>
            <w:shd w:val="clear" w:color="auto" w:fill="E8F4FD"/>
          </w:tcPr>
          <w:p w14:paraId="384AB961">
            <w:pPr>
              <w:spacing w:before="20" w:after="20" w:line="240" w:lineRule="auto"/>
            </w:pPr>
            <w:r>
              <w:rPr>
                <w:b/>
                <w:color w:val="002B49"/>
                <w:sz w:val="19"/>
              </w:rPr>
              <w:t>Phone</w:t>
            </w:r>
          </w:p>
        </w:tc>
        <w:tc>
          <w:tcPr>
            <w:tcW w:w="7143" w:type="dxa"/>
          </w:tcPr>
          <w:p w14:paraId="0911940E">
            <w:pPr>
              <w:spacing w:before="20" w:after="20" w:line="240" w:lineRule="auto"/>
            </w:pPr>
            <w:r>
              <w:rPr>
                <w:sz w:val="19"/>
              </w:rPr>
              <w:t>1800 004 922</w:t>
            </w:r>
          </w:p>
        </w:tc>
      </w:tr>
      <w:tr w14:paraId="3259DB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30" w:type="dxa"/>
            <w:left w:w="80" w:type="dxa"/>
            <w:bottom w:w="30" w:type="dxa"/>
            <w:right w:w="80" w:type="dxa"/>
          </w:tblCellMar>
        </w:tblPrEx>
        <w:tc>
          <w:tcPr>
            <w:tcW w:w="2494" w:type="dxa"/>
            <w:shd w:val="clear" w:color="auto" w:fill="E8F4FD"/>
          </w:tcPr>
          <w:p w14:paraId="4AA9D787">
            <w:pPr>
              <w:spacing w:before="20" w:after="20" w:line="240" w:lineRule="auto"/>
            </w:pPr>
            <w:r>
              <w:rPr>
                <w:b/>
                <w:color w:val="002B49"/>
                <w:sz w:val="19"/>
              </w:rPr>
              <w:t>Email</w:t>
            </w:r>
          </w:p>
        </w:tc>
        <w:tc>
          <w:tcPr>
            <w:tcW w:w="7143" w:type="dxa"/>
          </w:tcPr>
          <w:p w14:paraId="047E0D94">
            <w:pPr>
              <w:spacing w:before="20" w:after="20" w:line="240" w:lineRule="auto"/>
            </w:pPr>
            <w:r>
              <w:rPr>
                <w:sz w:val="19"/>
              </w:rPr>
              <w:t>admin@iwaa.org.au</w:t>
            </w:r>
          </w:p>
        </w:tc>
      </w:tr>
      <w:tr w14:paraId="6EB7BC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30" w:type="dxa"/>
            <w:left w:w="80" w:type="dxa"/>
            <w:bottom w:w="30" w:type="dxa"/>
            <w:right w:w="80" w:type="dxa"/>
          </w:tblCellMar>
        </w:tblPrEx>
        <w:tc>
          <w:tcPr>
            <w:tcW w:w="2494" w:type="dxa"/>
            <w:shd w:val="clear" w:color="auto" w:fill="E8F4FD"/>
          </w:tcPr>
          <w:p w14:paraId="235B1895">
            <w:pPr>
              <w:spacing w:before="20" w:after="20" w:line="240" w:lineRule="auto"/>
            </w:pPr>
            <w:r>
              <w:rPr>
                <w:b/>
                <w:color w:val="002B49"/>
                <w:sz w:val="19"/>
              </w:rPr>
              <w:t>Website</w:t>
            </w:r>
          </w:p>
        </w:tc>
        <w:tc>
          <w:tcPr>
            <w:tcW w:w="7143" w:type="dxa"/>
          </w:tcPr>
          <w:p w14:paraId="7F148BA1">
            <w:pPr>
              <w:spacing w:before="20" w:after="20" w:line="240" w:lineRule="auto"/>
            </w:pPr>
            <w:r>
              <w:fldChar w:fldCharType="begin"/>
            </w:r>
            <w:r>
              <w:instrText xml:space="preserve"> HYPERLINK "https://iwaa.org.au" \h </w:instrText>
            </w:r>
            <w:r>
              <w:fldChar w:fldCharType="separate"/>
            </w:r>
            <w:r>
              <w:rPr>
                <w:rFonts w:ascii="Calibri" w:hAnsi="Calibri"/>
                <w:color w:val="0066CC"/>
                <w:sz w:val="19"/>
                <w:u w:val="single"/>
              </w:rPr>
              <w:t>https://iwaa.org.au</w:t>
            </w:r>
            <w:r>
              <w:rPr>
                <w:rFonts w:ascii="Calibri" w:hAnsi="Calibri"/>
                <w:color w:val="0066CC"/>
                <w:sz w:val="19"/>
                <w:u w:val="single"/>
              </w:rPr>
              <w:fldChar w:fldCharType="end"/>
            </w:r>
          </w:p>
        </w:tc>
      </w:tr>
      <w:tr w14:paraId="093DA4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30" w:type="dxa"/>
            <w:left w:w="80" w:type="dxa"/>
            <w:bottom w:w="30" w:type="dxa"/>
            <w:right w:w="80" w:type="dxa"/>
          </w:tblCellMar>
        </w:tblPrEx>
        <w:tc>
          <w:tcPr>
            <w:tcW w:w="2494" w:type="dxa"/>
            <w:shd w:val="clear" w:color="auto" w:fill="E8F4FD"/>
          </w:tcPr>
          <w:p w14:paraId="2AAEC142">
            <w:pPr>
              <w:spacing w:before="20" w:after="20" w:line="240" w:lineRule="auto"/>
            </w:pPr>
            <w:r>
              <w:rPr>
                <w:b/>
                <w:color w:val="002B49"/>
                <w:sz w:val="19"/>
              </w:rPr>
              <w:t>Referral / Intake</w:t>
            </w:r>
          </w:p>
        </w:tc>
        <w:tc>
          <w:tcPr>
            <w:tcW w:w="7143" w:type="dxa"/>
          </w:tcPr>
          <w:p w14:paraId="7D30838E">
            <w:pPr>
              <w:spacing w:before="20" w:after="20" w:line="240" w:lineRule="auto"/>
            </w:pPr>
            <w:r>
              <w:rPr>
                <w:sz w:val="19"/>
              </w:rPr>
              <w:t>Online SETS referral form (records language spoken and interpreter needs) or call</w:t>
            </w:r>
          </w:p>
        </w:tc>
      </w:tr>
      <w:tr w14:paraId="2B23BD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30" w:type="dxa"/>
            <w:left w:w="80" w:type="dxa"/>
            <w:bottom w:w="30" w:type="dxa"/>
            <w:right w:w="80" w:type="dxa"/>
          </w:tblCellMar>
        </w:tblPrEx>
        <w:tc>
          <w:tcPr>
            <w:tcW w:w="2494" w:type="dxa"/>
            <w:shd w:val="clear" w:color="auto" w:fill="E8F4FD"/>
          </w:tcPr>
          <w:p w14:paraId="6D233835">
            <w:pPr>
              <w:spacing w:before="20" w:after="20" w:line="240" w:lineRule="auto"/>
            </w:pPr>
            <w:r>
              <w:rPr>
                <w:b/>
                <w:color w:val="002B49"/>
                <w:sz w:val="19"/>
              </w:rPr>
              <w:t>Coverage</w:t>
            </w:r>
          </w:p>
        </w:tc>
        <w:tc>
          <w:tcPr>
            <w:tcW w:w="7143" w:type="dxa"/>
          </w:tcPr>
          <w:p w14:paraId="782BCB4A">
            <w:pPr>
              <w:spacing w:before="20" w:after="20" w:line="240" w:lineRule="auto"/>
            </w:pPr>
            <w:r>
              <w:rPr>
                <w:sz w:val="19"/>
              </w:rPr>
              <w:t>Direct Springwood (4127) presence; supports Brisbane/Logan settlement communities (exact current postcode boundaries not published)</w:t>
            </w:r>
          </w:p>
        </w:tc>
      </w:tr>
      <w:tr w14:paraId="4C333B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30" w:type="dxa"/>
            <w:left w:w="80" w:type="dxa"/>
            <w:bottom w:w="30" w:type="dxa"/>
            <w:right w:w="80" w:type="dxa"/>
          </w:tblCellMar>
        </w:tblPrEx>
        <w:tc>
          <w:tcPr>
            <w:tcW w:w="2494" w:type="dxa"/>
            <w:shd w:val="clear" w:color="auto" w:fill="E8F4FD"/>
          </w:tcPr>
          <w:p w14:paraId="7C050B99">
            <w:pPr>
              <w:spacing w:before="20" w:after="20" w:line="240" w:lineRule="auto"/>
            </w:pPr>
            <w:r>
              <w:rPr>
                <w:b/>
                <w:color w:val="002B49"/>
                <w:sz w:val="19"/>
              </w:rPr>
              <w:t>Languages / Interpreters</w:t>
            </w:r>
          </w:p>
        </w:tc>
        <w:tc>
          <w:tcPr>
            <w:tcW w:w="7143" w:type="dxa"/>
          </w:tcPr>
          <w:p w14:paraId="5D408675">
            <w:pPr>
              <w:spacing w:before="20" w:after="20" w:line="240" w:lineRule="auto"/>
            </w:pPr>
            <w:r>
              <w:rPr>
                <w:sz w:val="19"/>
              </w:rPr>
              <w:t>Referral form records language spoken and interpreter requirement</w:t>
            </w:r>
          </w:p>
        </w:tc>
      </w:tr>
      <w:tr w14:paraId="304D58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30" w:type="dxa"/>
            <w:left w:w="80" w:type="dxa"/>
            <w:bottom w:w="30" w:type="dxa"/>
            <w:right w:w="80" w:type="dxa"/>
          </w:tblCellMar>
        </w:tblPrEx>
        <w:tc>
          <w:tcPr>
            <w:tcW w:w="2494" w:type="dxa"/>
            <w:shd w:val="clear" w:color="auto" w:fill="E8F4FD"/>
          </w:tcPr>
          <w:p w14:paraId="3767F400">
            <w:pPr>
              <w:spacing w:before="20" w:after="20" w:line="240" w:lineRule="auto"/>
            </w:pPr>
            <w:r>
              <w:rPr>
                <w:b/>
                <w:color w:val="002B49"/>
                <w:sz w:val="19"/>
              </w:rPr>
              <w:t>Verification Status</w:t>
            </w:r>
          </w:p>
        </w:tc>
        <w:tc>
          <w:tcPr>
            <w:tcW w:w="7143" w:type="dxa"/>
          </w:tcPr>
          <w:p w14:paraId="4E38FFB7">
            <w:pPr>
              <w:spacing w:before="20" w:after="20" w:line="240" w:lineRule="auto"/>
            </w:pPr>
            <w:r>
              <w:rPr>
                <w:sz w:val="19"/>
                <w:lang w:val="en-US"/>
              </w:rPr>
              <w:t>REQUIRES VERIFICATION</w:t>
            </w:r>
            <w:r>
              <w:rPr>
                <w:sz w:val="19"/>
              </w:rPr>
              <w:t xml:space="preserve"> — provider + Home Affairs SETS listing</w:t>
            </w:r>
          </w:p>
        </w:tc>
      </w:tr>
    </w:tbl>
    <w:p w14:paraId="1E1EE2D9">
      <w:pPr>
        <w:pStyle w:val="4"/>
      </w:pPr>
      <w:r>
        <w:rPr>
          <w:color w:val="002B49"/>
        </w:rPr>
        <w:t>Settlement Services International (SSI) — SETS Queensland</w:t>
      </w:r>
    </w:p>
    <w:tbl>
      <w:tblPr>
        <w:tblStyle w:val="3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30" w:type="dxa"/>
          <w:left w:w="80" w:type="dxa"/>
          <w:bottom w:w="30" w:type="dxa"/>
          <w:right w:w="80" w:type="dxa"/>
        </w:tblCellMar>
      </w:tblPr>
      <w:tblGrid>
        <w:gridCol w:w="4819"/>
        <w:gridCol w:w="4819"/>
      </w:tblGrid>
      <w:tr w14:paraId="2C43CC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30" w:type="dxa"/>
            <w:left w:w="80" w:type="dxa"/>
            <w:bottom w:w="30" w:type="dxa"/>
            <w:right w:w="80" w:type="dxa"/>
          </w:tblCellMar>
        </w:tblPrEx>
        <w:tc>
          <w:tcPr>
            <w:tcW w:w="2494" w:type="dxa"/>
            <w:shd w:val="clear" w:color="auto" w:fill="E8F4FD"/>
          </w:tcPr>
          <w:p w14:paraId="531A921D">
            <w:pPr>
              <w:spacing w:before="20" w:after="20" w:line="240" w:lineRule="auto"/>
            </w:pPr>
            <w:r>
              <w:rPr>
                <w:b/>
                <w:color w:val="002B49"/>
                <w:sz w:val="19"/>
              </w:rPr>
              <w:t>Organisation</w:t>
            </w:r>
          </w:p>
        </w:tc>
        <w:tc>
          <w:tcPr>
            <w:tcW w:w="7143" w:type="dxa"/>
          </w:tcPr>
          <w:p w14:paraId="592D88B6">
            <w:pPr>
              <w:spacing w:before="20" w:after="20" w:line="240" w:lineRule="auto"/>
            </w:pPr>
            <w:r>
              <w:rPr>
                <w:sz w:val="19"/>
              </w:rPr>
              <w:t>Settlement Services International (SSI)</w:t>
            </w:r>
          </w:p>
        </w:tc>
      </w:tr>
      <w:tr w14:paraId="16188F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30" w:type="dxa"/>
            <w:left w:w="80" w:type="dxa"/>
            <w:bottom w:w="30" w:type="dxa"/>
            <w:right w:w="80" w:type="dxa"/>
          </w:tblCellMar>
        </w:tblPrEx>
        <w:tc>
          <w:tcPr>
            <w:tcW w:w="2494" w:type="dxa"/>
            <w:shd w:val="clear" w:color="auto" w:fill="E8F4FD"/>
          </w:tcPr>
          <w:p w14:paraId="452B98EB">
            <w:pPr>
              <w:spacing w:before="20" w:after="20" w:line="240" w:lineRule="auto"/>
            </w:pPr>
            <w:r>
              <w:rPr>
                <w:b/>
                <w:color w:val="002B49"/>
                <w:sz w:val="19"/>
              </w:rPr>
              <w:t>Service Category</w:t>
            </w:r>
          </w:p>
        </w:tc>
        <w:tc>
          <w:tcPr>
            <w:tcW w:w="7143" w:type="dxa"/>
          </w:tcPr>
          <w:p w14:paraId="2717DC87">
            <w:pPr>
              <w:spacing w:before="20" w:after="20" w:line="240" w:lineRule="auto"/>
            </w:pPr>
            <w:r>
              <w:rPr>
                <w:sz w:val="19"/>
              </w:rPr>
              <w:t>Settlement casework; referral; community education; youth settlement; community capacity</w:t>
            </w:r>
          </w:p>
        </w:tc>
      </w:tr>
      <w:tr w14:paraId="66FFB1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30" w:type="dxa"/>
            <w:left w:w="80" w:type="dxa"/>
            <w:bottom w:w="30" w:type="dxa"/>
            <w:right w:w="80" w:type="dxa"/>
          </w:tblCellMar>
        </w:tblPrEx>
        <w:tc>
          <w:tcPr>
            <w:tcW w:w="2494" w:type="dxa"/>
            <w:shd w:val="clear" w:color="auto" w:fill="E8F4FD"/>
          </w:tcPr>
          <w:p w14:paraId="09B5C87F">
            <w:pPr>
              <w:spacing w:before="20" w:after="20" w:line="240" w:lineRule="auto"/>
            </w:pPr>
            <w:r>
              <w:rPr>
                <w:b/>
                <w:color w:val="002B49"/>
                <w:sz w:val="19"/>
              </w:rPr>
              <w:t>Program / Service</w:t>
            </w:r>
          </w:p>
        </w:tc>
        <w:tc>
          <w:tcPr>
            <w:tcW w:w="7143" w:type="dxa"/>
          </w:tcPr>
          <w:p w14:paraId="630D9614">
            <w:pPr>
              <w:spacing w:before="20" w:after="20" w:line="240" w:lineRule="auto"/>
            </w:pPr>
            <w:r>
              <w:rPr>
                <w:sz w:val="19"/>
              </w:rPr>
              <w:t>SETS Queensland</w:t>
            </w:r>
          </w:p>
        </w:tc>
      </w:tr>
      <w:tr w14:paraId="6A5814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30" w:type="dxa"/>
            <w:left w:w="80" w:type="dxa"/>
            <w:bottom w:w="30" w:type="dxa"/>
            <w:right w:w="80" w:type="dxa"/>
          </w:tblCellMar>
        </w:tblPrEx>
        <w:tc>
          <w:tcPr>
            <w:tcW w:w="2494" w:type="dxa"/>
            <w:shd w:val="clear" w:color="auto" w:fill="E8F4FD"/>
          </w:tcPr>
          <w:p w14:paraId="1FFDEF95">
            <w:pPr>
              <w:spacing w:before="20" w:after="20" w:line="240" w:lineRule="auto"/>
            </w:pPr>
            <w:r>
              <w:rPr>
                <w:b/>
                <w:color w:val="002B49"/>
                <w:sz w:val="19"/>
              </w:rPr>
              <w:t>Service Description</w:t>
            </w:r>
          </w:p>
        </w:tc>
        <w:tc>
          <w:tcPr>
            <w:tcW w:w="7143" w:type="dxa"/>
          </w:tcPr>
          <w:p w14:paraId="24FDDEA9">
            <w:pPr>
              <w:spacing w:before="20" w:after="20" w:line="240" w:lineRule="auto"/>
            </w:pPr>
            <w:r>
              <w:rPr>
                <w:sz w:val="19"/>
              </w:rPr>
              <w:t>Information, advice, referral and advocacy; casework; employment and training assistance; housing and driver literacy; community education; youth support; capacity building.</w:t>
            </w:r>
          </w:p>
        </w:tc>
      </w:tr>
      <w:tr w14:paraId="4A6A31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30" w:type="dxa"/>
            <w:left w:w="80" w:type="dxa"/>
            <w:bottom w:w="30" w:type="dxa"/>
            <w:right w:w="80" w:type="dxa"/>
          </w:tblCellMar>
        </w:tblPrEx>
        <w:tc>
          <w:tcPr>
            <w:tcW w:w="2494" w:type="dxa"/>
            <w:shd w:val="clear" w:color="auto" w:fill="E8F4FD"/>
          </w:tcPr>
          <w:p w14:paraId="4775CAFF">
            <w:pPr>
              <w:spacing w:before="20" w:after="20" w:line="240" w:lineRule="auto"/>
            </w:pPr>
            <w:r>
              <w:rPr>
                <w:b/>
                <w:color w:val="002B49"/>
                <w:sz w:val="19"/>
              </w:rPr>
              <w:t>Who They Support</w:t>
            </w:r>
          </w:p>
        </w:tc>
        <w:tc>
          <w:tcPr>
            <w:tcW w:w="7143" w:type="dxa"/>
          </w:tcPr>
          <w:p w14:paraId="7E57CF63">
            <w:pPr>
              <w:spacing w:before="20" w:after="20" w:line="240" w:lineRule="auto"/>
            </w:pPr>
            <w:r>
              <w:rPr>
                <w:sz w:val="19"/>
              </w:rPr>
              <w:t>Humanitarian entrants and family-stream migrants with low English proficiency; one-to-one support focuses on people in Australia under 5 years on humanitarian/family stream visas; youth 15–24 and emerging communities</w:t>
            </w:r>
          </w:p>
        </w:tc>
      </w:tr>
      <w:tr w14:paraId="441E0C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30" w:type="dxa"/>
            <w:left w:w="80" w:type="dxa"/>
            <w:bottom w:w="30" w:type="dxa"/>
            <w:right w:w="80" w:type="dxa"/>
          </w:tblCellMar>
        </w:tblPrEx>
        <w:tc>
          <w:tcPr>
            <w:tcW w:w="2494" w:type="dxa"/>
            <w:shd w:val="clear" w:color="auto" w:fill="E8F4FD"/>
          </w:tcPr>
          <w:p w14:paraId="5FC3D8FB">
            <w:pPr>
              <w:spacing w:before="20" w:after="20" w:line="240" w:lineRule="auto"/>
            </w:pPr>
            <w:r>
              <w:rPr>
                <w:b/>
                <w:color w:val="002B49"/>
                <w:sz w:val="19"/>
              </w:rPr>
              <w:t>Address</w:t>
            </w:r>
          </w:p>
        </w:tc>
        <w:tc>
          <w:tcPr>
            <w:tcW w:w="7143" w:type="dxa"/>
          </w:tcPr>
          <w:p w14:paraId="61B7AB6E">
            <w:pPr>
              <w:spacing w:before="20" w:after="20" w:line="240" w:lineRule="auto"/>
            </w:pPr>
            <w:r>
              <w:rPr>
                <w:sz w:val="19"/>
              </w:rPr>
              <w:t>SSI Logan Hub, corner Carmody Street and Ewing Road, Logan Central QLD 4114</w:t>
            </w:r>
          </w:p>
        </w:tc>
      </w:tr>
      <w:tr w14:paraId="3F3D24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30" w:type="dxa"/>
            <w:left w:w="80" w:type="dxa"/>
            <w:bottom w:w="30" w:type="dxa"/>
            <w:right w:w="80" w:type="dxa"/>
          </w:tblCellMar>
        </w:tblPrEx>
        <w:tc>
          <w:tcPr>
            <w:tcW w:w="2494" w:type="dxa"/>
            <w:shd w:val="clear" w:color="auto" w:fill="E8F4FD"/>
          </w:tcPr>
          <w:p w14:paraId="10EF2B47">
            <w:pPr>
              <w:spacing w:before="20" w:after="20" w:line="240" w:lineRule="auto"/>
            </w:pPr>
            <w:r>
              <w:rPr>
                <w:b/>
                <w:color w:val="002B49"/>
                <w:sz w:val="19"/>
              </w:rPr>
              <w:t>Phone</w:t>
            </w:r>
          </w:p>
        </w:tc>
        <w:tc>
          <w:tcPr>
            <w:tcW w:w="7143" w:type="dxa"/>
          </w:tcPr>
          <w:p w14:paraId="1552904C">
            <w:pPr>
              <w:spacing w:before="20" w:after="20" w:line="240" w:lineRule="auto"/>
            </w:pPr>
            <w:r>
              <w:rPr>
                <w:sz w:val="19"/>
              </w:rPr>
              <w:t>07 3412 8222</w:t>
            </w:r>
          </w:p>
        </w:tc>
      </w:tr>
      <w:tr w14:paraId="2EA3F5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30" w:type="dxa"/>
            <w:left w:w="80" w:type="dxa"/>
            <w:bottom w:w="30" w:type="dxa"/>
            <w:right w:w="80" w:type="dxa"/>
          </w:tblCellMar>
        </w:tblPrEx>
        <w:tc>
          <w:tcPr>
            <w:tcW w:w="2494" w:type="dxa"/>
            <w:shd w:val="clear" w:color="auto" w:fill="E8F4FD"/>
          </w:tcPr>
          <w:p w14:paraId="7611AC0E">
            <w:pPr>
              <w:spacing w:before="20" w:after="20" w:line="240" w:lineRule="auto"/>
            </w:pPr>
            <w:r>
              <w:rPr>
                <w:b/>
                <w:color w:val="002B49"/>
                <w:sz w:val="19"/>
              </w:rPr>
              <w:t>Email</w:t>
            </w:r>
          </w:p>
        </w:tc>
        <w:tc>
          <w:tcPr>
            <w:tcW w:w="7143" w:type="dxa"/>
          </w:tcPr>
          <w:p w14:paraId="28250AE1">
            <w:pPr>
              <w:spacing w:before="20" w:after="20" w:line="240" w:lineRule="auto"/>
            </w:pPr>
            <w:r>
              <w:rPr>
                <w:sz w:val="19"/>
              </w:rPr>
              <w:t>acsl.settlementsupport@ssi.org.au</w:t>
            </w:r>
          </w:p>
        </w:tc>
      </w:tr>
      <w:tr w14:paraId="4E831D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30" w:type="dxa"/>
            <w:left w:w="80" w:type="dxa"/>
            <w:bottom w:w="30" w:type="dxa"/>
            <w:right w:w="80" w:type="dxa"/>
          </w:tblCellMar>
        </w:tblPrEx>
        <w:tc>
          <w:tcPr>
            <w:tcW w:w="2494" w:type="dxa"/>
            <w:shd w:val="clear" w:color="auto" w:fill="E8F4FD"/>
          </w:tcPr>
          <w:p w14:paraId="759C7DCF">
            <w:pPr>
              <w:spacing w:before="20" w:after="20" w:line="240" w:lineRule="auto"/>
            </w:pPr>
            <w:r>
              <w:rPr>
                <w:b/>
                <w:color w:val="002B49"/>
                <w:sz w:val="19"/>
              </w:rPr>
              <w:t>Website</w:t>
            </w:r>
          </w:p>
        </w:tc>
        <w:tc>
          <w:tcPr>
            <w:tcW w:w="7143" w:type="dxa"/>
          </w:tcPr>
          <w:p w14:paraId="599D5313">
            <w:pPr>
              <w:spacing w:before="20" w:after="20" w:line="240" w:lineRule="auto"/>
            </w:pPr>
            <w:r>
              <w:fldChar w:fldCharType="begin"/>
            </w:r>
            <w:r>
              <w:instrText xml:space="preserve"> HYPERLINK "https://www.ssi.org.au" \h </w:instrText>
            </w:r>
            <w:r>
              <w:fldChar w:fldCharType="separate"/>
            </w:r>
            <w:r>
              <w:rPr>
                <w:rFonts w:ascii="Calibri" w:hAnsi="Calibri"/>
                <w:color w:val="0066CC"/>
                <w:sz w:val="19"/>
                <w:u w:val="single"/>
              </w:rPr>
              <w:t>https://www.ssi.org.au</w:t>
            </w:r>
            <w:r>
              <w:rPr>
                <w:rFonts w:ascii="Calibri" w:hAnsi="Calibri"/>
                <w:color w:val="0066CC"/>
                <w:sz w:val="19"/>
                <w:u w:val="single"/>
              </w:rPr>
              <w:fldChar w:fldCharType="end"/>
            </w:r>
          </w:p>
        </w:tc>
      </w:tr>
      <w:tr w14:paraId="4C4014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30" w:type="dxa"/>
            <w:left w:w="80" w:type="dxa"/>
            <w:bottom w:w="30" w:type="dxa"/>
            <w:right w:w="80" w:type="dxa"/>
          </w:tblCellMar>
        </w:tblPrEx>
        <w:tc>
          <w:tcPr>
            <w:tcW w:w="2494" w:type="dxa"/>
            <w:shd w:val="clear" w:color="auto" w:fill="E8F4FD"/>
          </w:tcPr>
          <w:p w14:paraId="0013C851">
            <w:pPr>
              <w:spacing w:before="20" w:after="20" w:line="240" w:lineRule="auto"/>
            </w:pPr>
            <w:r>
              <w:rPr>
                <w:b/>
                <w:color w:val="002B49"/>
                <w:sz w:val="19"/>
              </w:rPr>
              <w:t>Referral / Intake</w:t>
            </w:r>
          </w:p>
        </w:tc>
        <w:tc>
          <w:tcPr>
            <w:tcW w:w="7143" w:type="dxa"/>
          </w:tcPr>
          <w:p w14:paraId="35D0D2B3">
            <w:pPr>
              <w:spacing w:before="20" w:after="20" w:line="240" w:lineRule="auto"/>
            </w:pPr>
            <w:r>
              <w:rPr>
                <w:sz w:val="19"/>
              </w:rPr>
              <w:t>Online SETS referral form, phone or email</w:t>
            </w:r>
          </w:p>
        </w:tc>
      </w:tr>
      <w:tr w14:paraId="720906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30" w:type="dxa"/>
            <w:left w:w="80" w:type="dxa"/>
            <w:bottom w:w="30" w:type="dxa"/>
            <w:right w:w="80" w:type="dxa"/>
          </w:tblCellMar>
        </w:tblPrEx>
        <w:tc>
          <w:tcPr>
            <w:tcW w:w="2494" w:type="dxa"/>
            <w:shd w:val="clear" w:color="auto" w:fill="E8F4FD"/>
          </w:tcPr>
          <w:p w14:paraId="06F2AB85">
            <w:pPr>
              <w:spacing w:before="20" w:after="20" w:line="240" w:lineRule="auto"/>
            </w:pPr>
            <w:r>
              <w:rPr>
                <w:b/>
                <w:color w:val="002B49"/>
                <w:sz w:val="19"/>
              </w:rPr>
              <w:t>Coverage</w:t>
            </w:r>
          </w:p>
        </w:tc>
        <w:tc>
          <w:tcPr>
            <w:tcW w:w="7143" w:type="dxa"/>
          </w:tcPr>
          <w:p w14:paraId="2D314DD7">
            <w:pPr>
              <w:spacing w:before="20" w:after="20" w:line="240" w:lineRule="auto"/>
            </w:pPr>
            <w:r>
              <w:rPr>
                <w:sz w:val="19"/>
              </w:rPr>
              <w:t>Brisbane, Logan, Redland and Scenic Rim groups; SSI also states Moreton Bay South, Ipswich and Lockyer Valley</w:t>
            </w:r>
          </w:p>
        </w:tc>
      </w:tr>
      <w:tr w14:paraId="5D7E1F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30" w:type="dxa"/>
            <w:left w:w="80" w:type="dxa"/>
            <w:bottom w:w="30" w:type="dxa"/>
            <w:right w:w="80" w:type="dxa"/>
          </w:tblCellMar>
        </w:tblPrEx>
        <w:tc>
          <w:tcPr>
            <w:tcW w:w="2494" w:type="dxa"/>
            <w:shd w:val="clear" w:color="auto" w:fill="E8F4FD"/>
          </w:tcPr>
          <w:p w14:paraId="4B2DFBFD">
            <w:pPr>
              <w:spacing w:before="20" w:after="20" w:line="240" w:lineRule="auto"/>
            </w:pPr>
            <w:r>
              <w:rPr>
                <w:b/>
                <w:color w:val="002B49"/>
                <w:sz w:val="19"/>
              </w:rPr>
              <w:t>Verification Status</w:t>
            </w:r>
          </w:p>
        </w:tc>
        <w:tc>
          <w:tcPr>
            <w:tcW w:w="7143" w:type="dxa"/>
          </w:tcPr>
          <w:p w14:paraId="0AA6675A">
            <w:pPr>
              <w:spacing w:before="20" w:after="20" w:line="240" w:lineRule="auto"/>
            </w:pPr>
            <w:r>
              <w:rPr>
                <w:sz w:val="19"/>
                <w:lang w:val="en-US"/>
              </w:rPr>
              <w:t>REQUIRES VERIFICATION</w:t>
            </w:r>
            <w:r>
              <w:rPr>
                <w:sz w:val="19"/>
              </w:rPr>
              <w:t xml:space="preserve"> — current provider program + Home Affairs SETS listing</w:t>
            </w:r>
          </w:p>
        </w:tc>
      </w:tr>
      <w:tr w14:paraId="0E8C03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30" w:type="dxa"/>
            <w:left w:w="80" w:type="dxa"/>
            <w:bottom w:w="30" w:type="dxa"/>
            <w:right w:w="80" w:type="dxa"/>
          </w:tblCellMar>
        </w:tblPrEx>
        <w:tc>
          <w:tcPr>
            <w:tcW w:w="2494" w:type="dxa"/>
            <w:shd w:val="clear" w:color="auto" w:fill="E8F4FD"/>
          </w:tcPr>
          <w:p w14:paraId="4BECA76A">
            <w:pPr>
              <w:spacing w:before="20" w:after="20" w:line="240" w:lineRule="auto"/>
            </w:pPr>
            <w:r>
              <w:rPr>
                <w:b/>
                <w:color w:val="002B49"/>
                <w:sz w:val="19"/>
              </w:rPr>
              <w:t>Notes</w:t>
            </w:r>
          </w:p>
        </w:tc>
        <w:tc>
          <w:tcPr>
            <w:tcW w:w="7143" w:type="dxa"/>
          </w:tcPr>
          <w:p w14:paraId="2E86F228">
            <w:pPr>
              <w:spacing w:before="20" w:after="20" w:line="240" w:lineRule="auto"/>
            </w:pPr>
            <w:r>
              <w:rPr>
                <w:sz w:val="19"/>
              </w:rPr>
              <w:t>SSI also delivers Community Hubs support in Logan (Section 10.7) and YTS in Queensland (Section 12). 'Moreton Bay South' should not be automatically interpreted as covering Bribie Island (4025).</w:t>
            </w:r>
          </w:p>
        </w:tc>
      </w:tr>
    </w:tbl>
    <w:p w14:paraId="5797DDC8">
      <w:pPr>
        <w:pStyle w:val="4"/>
      </w:pPr>
      <w:r>
        <w:rPr>
          <w:color w:val="002B49"/>
        </w:rPr>
        <w:t>Accoras — SETS</w:t>
      </w:r>
    </w:p>
    <w:tbl>
      <w:tblPr>
        <w:tblStyle w:val="3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30" w:type="dxa"/>
          <w:left w:w="80" w:type="dxa"/>
          <w:bottom w:w="30" w:type="dxa"/>
          <w:right w:w="80" w:type="dxa"/>
        </w:tblCellMar>
      </w:tblPr>
      <w:tblGrid>
        <w:gridCol w:w="4819"/>
        <w:gridCol w:w="4819"/>
      </w:tblGrid>
      <w:tr w14:paraId="01A695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30" w:type="dxa"/>
            <w:left w:w="80" w:type="dxa"/>
            <w:bottom w:w="30" w:type="dxa"/>
            <w:right w:w="80" w:type="dxa"/>
          </w:tblCellMar>
        </w:tblPrEx>
        <w:tc>
          <w:tcPr>
            <w:tcW w:w="2494" w:type="dxa"/>
            <w:shd w:val="clear" w:color="auto" w:fill="E8F4FD"/>
          </w:tcPr>
          <w:p w14:paraId="604E8D79">
            <w:pPr>
              <w:spacing w:before="20" w:after="20" w:line="240" w:lineRule="auto"/>
            </w:pPr>
            <w:r>
              <w:rPr>
                <w:b/>
                <w:color w:val="002B49"/>
                <w:sz w:val="19"/>
              </w:rPr>
              <w:t>Organisation</w:t>
            </w:r>
          </w:p>
        </w:tc>
        <w:tc>
          <w:tcPr>
            <w:tcW w:w="7143" w:type="dxa"/>
          </w:tcPr>
          <w:p w14:paraId="63F71571">
            <w:pPr>
              <w:spacing w:before="20" w:after="20" w:line="240" w:lineRule="auto"/>
            </w:pPr>
            <w:r>
              <w:rPr>
                <w:sz w:val="19"/>
              </w:rPr>
              <w:t>Accoras</w:t>
            </w:r>
          </w:p>
        </w:tc>
      </w:tr>
      <w:tr w14:paraId="540C1D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30" w:type="dxa"/>
            <w:left w:w="80" w:type="dxa"/>
            <w:bottom w:w="30" w:type="dxa"/>
            <w:right w:w="80" w:type="dxa"/>
          </w:tblCellMar>
        </w:tblPrEx>
        <w:tc>
          <w:tcPr>
            <w:tcW w:w="2494" w:type="dxa"/>
            <w:shd w:val="clear" w:color="auto" w:fill="E8F4FD"/>
          </w:tcPr>
          <w:p w14:paraId="5EFC1F78">
            <w:pPr>
              <w:spacing w:before="20" w:after="20" w:line="240" w:lineRule="auto"/>
            </w:pPr>
            <w:r>
              <w:rPr>
                <w:b/>
                <w:color w:val="002B49"/>
                <w:sz w:val="19"/>
              </w:rPr>
              <w:t>Service Category</w:t>
            </w:r>
          </w:p>
        </w:tc>
        <w:tc>
          <w:tcPr>
            <w:tcW w:w="7143" w:type="dxa"/>
          </w:tcPr>
          <w:p w14:paraId="3E05B335">
            <w:pPr>
              <w:spacing w:before="20" w:after="20" w:line="240" w:lineRule="auto"/>
            </w:pPr>
            <w:r>
              <w:rPr>
                <w:sz w:val="19"/>
              </w:rPr>
              <w:t>Settlement support; family/youth support; outreach; community capacity</w:t>
            </w:r>
          </w:p>
        </w:tc>
      </w:tr>
      <w:tr w14:paraId="62F8BC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30" w:type="dxa"/>
            <w:left w:w="80" w:type="dxa"/>
            <w:bottom w:w="30" w:type="dxa"/>
            <w:right w:w="80" w:type="dxa"/>
          </w:tblCellMar>
        </w:tblPrEx>
        <w:tc>
          <w:tcPr>
            <w:tcW w:w="2494" w:type="dxa"/>
            <w:shd w:val="clear" w:color="auto" w:fill="E8F4FD"/>
          </w:tcPr>
          <w:p w14:paraId="7FE5EDC3">
            <w:pPr>
              <w:spacing w:before="20" w:after="20" w:line="240" w:lineRule="auto"/>
            </w:pPr>
            <w:r>
              <w:rPr>
                <w:b/>
                <w:color w:val="002B49"/>
                <w:sz w:val="19"/>
              </w:rPr>
              <w:t>Program / Service</w:t>
            </w:r>
          </w:p>
        </w:tc>
        <w:tc>
          <w:tcPr>
            <w:tcW w:w="7143" w:type="dxa"/>
          </w:tcPr>
          <w:p w14:paraId="3AD8B523">
            <w:pPr>
              <w:spacing w:before="20" w:after="20" w:line="240" w:lineRule="auto"/>
            </w:pPr>
            <w:r>
              <w:rPr>
                <w:sz w:val="19"/>
              </w:rPr>
              <w:t>Settlement, Engagement and Transition Support (SETS)</w:t>
            </w:r>
          </w:p>
        </w:tc>
      </w:tr>
      <w:tr w14:paraId="3702FC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30" w:type="dxa"/>
            <w:left w:w="80" w:type="dxa"/>
            <w:bottom w:w="30" w:type="dxa"/>
            <w:right w:w="80" w:type="dxa"/>
          </w:tblCellMar>
        </w:tblPrEx>
        <w:tc>
          <w:tcPr>
            <w:tcW w:w="2494" w:type="dxa"/>
            <w:shd w:val="clear" w:color="auto" w:fill="E8F4FD"/>
          </w:tcPr>
          <w:p w14:paraId="11C3A503">
            <w:pPr>
              <w:spacing w:before="20" w:after="20" w:line="240" w:lineRule="auto"/>
            </w:pPr>
            <w:r>
              <w:rPr>
                <w:b/>
                <w:color w:val="002B49"/>
                <w:sz w:val="19"/>
              </w:rPr>
              <w:t>Service Description</w:t>
            </w:r>
          </w:p>
        </w:tc>
        <w:tc>
          <w:tcPr>
            <w:tcW w:w="7143" w:type="dxa"/>
          </w:tcPr>
          <w:p w14:paraId="7D2F03DC">
            <w:pPr>
              <w:spacing w:before="20" w:after="20" w:line="240" w:lineRule="auto"/>
            </w:pPr>
            <w:r>
              <w:rPr>
                <w:sz w:val="19"/>
              </w:rPr>
              <w:t>Tailored settlement support, youth employment/education support, community consultation, home/community/school outreach and independence building.</w:t>
            </w:r>
          </w:p>
        </w:tc>
      </w:tr>
      <w:tr w14:paraId="251DA3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30" w:type="dxa"/>
            <w:left w:w="80" w:type="dxa"/>
            <w:bottom w:w="30" w:type="dxa"/>
            <w:right w:w="80" w:type="dxa"/>
          </w:tblCellMar>
        </w:tblPrEx>
        <w:tc>
          <w:tcPr>
            <w:tcW w:w="2494" w:type="dxa"/>
            <w:shd w:val="clear" w:color="auto" w:fill="E8F4FD"/>
          </w:tcPr>
          <w:p w14:paraId="4E7FB1CC">
            <w:pPr>
              <w:spacing w:before="20" w:after="20" w:line="240" w:lineRule="auto"/>
            </w:pPr>
            <w:r>
              <w:rPr>
                <w:b/>
                <w:color w:val="002B49"/>
                <w:sz w:val="19"/>
              </w:rPr>
              <w:t>Who They Support</w:t>
            </w:r>
          </w:p>
        </w:tc>
        <w:tc>
          <w:tcPr>
            <w:tcW w:w="7143" w:type="dxa"/>
          </w:tcPr>
          <w:p w14:paraId="3584E862">
            <w:pPr>
              <w:spacing w:before="20" w:after="20" w:line="240" w:lineRule="auto"/>
            </w:pPr>
            <w:r>
              <w:rPr>
                <w:sz w:val="19"/>
              </w:rPr>
              <w:t>Individuals and families who moved to Australia in the last 5 years; humanitarian entrants or other vulnerable migrants in specified visa categories; children and young people</w:t>
            </w:r>
          </w:p>
        </w:tc>
      </w:tr>
      <w:tr w14:paraId="3F4586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30" w:type="dxa"/>
            <w:left w:w="80" w:type="dxa"/>
            <w:bottom w:w="30" w:type="dxa"/>
            <w:right w:w="80" w:type="dxa"/>
          </w:tblCellMar>
        </w:tblPrEx>
        <w:tc>
          <w:tcPr>
            <w:tcW w:w="2494" w:type="dxa"/>
            <w:shd w:val="clear" w:color="auto" w:fill="E8F4FD"/>
          </w:tcPr>
          <w:p w14:paraId="6BDF20B6">
            <w:pPr>
              <w:spacing w:before="20" w:after="20" w:line="240" w:lineRule="auto"/>
            </w:pPr>
            <w:r>
              <w:rPr>
                <w:b/>
                <w:color w:val="002B49"/>
                <w:sz w:val="19"/>
              </w:rPr>
              <w:t>Address</w:t>
            </w:r>
          </w:p>
        </w:tc>
        <w:tc>
          <w:tcPr>
            <w:tcW w:w="7143" w:type="dxa"/>
          </w:tcPr>
          <w:p w14:paraId="7680AD74">
            <w:pPr>
              <w:spacing w:before="20" w:after="20" w:line="240" w:lineRule="auto"/>
            </w:pPr>
            <w:r>
              <w:rPr>
                <w:sz w:val="19"/>
              </w:rPr>
              <w:t>Unit 4/23 Sanders Street, Upper Mount Gravatt QLD 4122</w:t>
            </w:r>
          </w:p>
        </w:tc>
      </w:tr>
      <w:tr w14:paraId="46A673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30" w:type="dxa"/>
            <w:left w:w="80" w:type="dxa"/>
            <w:bottom w:w="30" w:type="dxa"/>
            <w:right w:w="80" w:type="dxa"/>
          </w:tblCellMar>
        </w:tblPrEx>
        <w:tc>
          <w:tcPr>
            <w:tcW w:w="2494" w:type="dxa"/>
            <w:shd w:val="clear" w:color="auto" w:fill="E8F4FD"/>
          </w:tcPr>
          <w:p w14:paraId="40B2294D">
            <w:pPr>
              <w:spacing w:before="20" w:after="20" w:line="240" w:lineRule="auto"/>
            </w:pPr>
            <w:r>
              <w:rPr>
                <w:b/>
                <w:color w:val="002B49"/>
                <w:sz w:val="19"/>
              </w:rPr>
              <w:t>Phone</w:t>
            </w:r>
          </w:p>
        </w:tc>
        <w:tc>
          <w:tcPr>
            <w:tcW w:w="7143" w:type="dxa"/>
          </w:tcPr>
          <w:p w14:paraId="3562F454">
            <w:pPr>
              <w:spacing w:before="20" w:after="20" w:line="240" w:lineRule="auto"/>
            </w:pPr>
            <w:r>
              <w:rPr>
                <w:sz w:val="19"/>
              </w:rPr>
              <w:t>07 3255 6555</w:t>
            </w:r>
          </w:p>
        </w:tc>
      </w:tr>
      <w:tr w14:paraId="2C54BE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30" w:type="dxa"/>
            <w:left w:w="80" w:type="dxa"/>
            <w:bottom w:w="30" w:type="dxa"/>
            <w:right w:w="80" w:type="dxa"/>
          </w:tblCellMar>
        </w:tblPrEx>
        <w:tc>
          <w:tcPr>
            <w:tcW w:w="2494" w:type="dxa"/>
            <w:shd w:val="clear" w:color="auto" w:fill="E8F4FD"/>
          </w:tcPr>
          <w:p w14:paraId="65E16245">
            <w:pPr>
              <w:spacing w:before="20" w:after="20" w:line="240" w:lineRule="auto"/>
            </w:pPr>
            <w:r>
              <w:rPr>
                <w:b/>
                <w:color w:val="002B49"/>
                <w:sz w:val="19"/>
              </w:rPr>
              <w:t>Email</w:t>
            </w:r>
          </w:p>
        </w:tc>
        <w:tc>
          <w:tcPr>
            <w:tcW w:w="7143" w:type="dxa"/>
          </w:tcPr>
          <w:p w14:paraId="37DE0558">
            <w:pPr>
              <w:spacing w:before="20" w:after="20" w:line="240" w:lineRule="auto"/>
            </w:pPr>
            <w:r>
              <w:rPr>
                <w:sz w:val="19"/>
              </w:rPr>
              <w:t>info@accoras.com.au</w:t>
            </w:r>
          </w:p>
        </w:tc>
      </w:tr>
      <w:tr w14:paraId="18E817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30" w:type="dxa"/>
            <w:left w:w="80" w:type="dxa"/>
            <w:bottom w:w="30" w:type="dxa"/>
            <w:right w:w="80" w:type="dxa"/>
          </w:tblCellMar>
        </w:tblPrEx>
        <w:tc>
          <w:tcPr>
            <w:tcW w:w="2494" w:type="dxa"/>
            <w:shd w:val="clear" w:color="auto" w:fill="E8F4FD"/>
          </w:tcPr>
          <w:p w14:paraId="6D96CC3F">
            <w:pPr>
              <w:spacing w:before="20" w:after="20" w:line="240" w:lineRule="auto"/>
            </w:pPr>
            <w:r>
              <w:rPr>
                <w:b/>
                <w:color w:val="002B49"/>
                <w:sz w:val="19"/>
              </w:rPr>
              <w:t>Website</w:t>
            </w:r>
          </w:p>
        </w:tc>
        <w:tc>
          <w:tcPr>
            <w:tcW w:w="7143" w:type="dxa"/>
          </w:tcPr>
          <w:p w14:paraId="664F2008">
            <w:pPr>
              <w:spacing w:before="20" w:after="20" w:line="240" w:lineRule="auto"/>
            </w:pPr>
            <w:r>
              <w:fldChar w:fldCharType="begin"/>
            </w:r>
            <w:r>
              <w:instrText xml:space="preserve"> HYPERLINK "https://accoras.com.au" \h </w:instrText>
            </w:r>
            <w:r>
              <w:fldChar w:fldCharType="separate"/>
            </w:r>
            <w:r>
              <w:rPr>
                <w:rFonts w:ascii="Calibri" w:hAnsi="Calibri"/>
                <w:color w:val="0066CC"/>
                <w:sz w:val="19"/>
                <w:u w:val="single"/>
              </w:rPr>
              <w:t>https://accoras.com.au</w:t>
            </w:r>
            <w:r>
              <w:rPr>
                <w:rFonts w:ascii="Calibri" w:hAnsi="Calibri"/>
                <w:color w:val="0066CC"/>
                <w:sz w:val="19"/>
                <w:u w:val="single"/>
              </w:rPr>
              <w:fldChar w:fldCharType="end"/>
            </w:r>
          </w:p>
        </w:tc>
      </w:tr>
      <w:tr w14:paraId="77AF2F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30" w:type="dxa"/>
            <w:left w:w="80" w:type="dxa"/>
            <w:bottom w:w="30" w:type="dxa"/>
            <w:right w:w="80" w:type="dxa"/>
          </w:tblCellMar>
        </w:tblPrEx>
        <w:tc>
          <w:tcPr>
            <w:tcW w:w="2494" w:type="dxa"/>
            <w:shd w:val="clear" w:color="auto" w:fill="E8F4FD"/>
          </w:tcPr>
          <w:p w14:paraId="3E8661E9">
            <w:pPr>
              <w:spacing w:before="20" w:after="20" w:line="240" w:lineRule="auto"/>
            </w:pPr>
            <w:r>
              <w:rPr>
                <w:b/>
                <w:color w:val="002B49"/>
                <w:sz w:val="19"/>
              </w:rPr>
              <w:t>Referral / Intake</w:t>
            </w:r>
          </w:p>
        </w:tc>
        <w:tc>
          <w:tcPr>
            <w:tcW w:w="7143" w:type="dxa"/>
          </w:tcPr>
          <w:p w14:paraId="33154AC6">
            <w:pPr>
              <w:spacing w:before="20" w:after="20" w:line="240" w:lineRule="auto"/>
            </w:pPr>
            <w:r>
              <w:rPr>
                <w:sz w:val="19"/>
              </w:rPr>
              <w:t>Phone/contact form; outreach can occur at home, community locations or schools</w:t>
            </w:r>
          </w:p>
        </w:tc>
      </w:tr>
      <w:tr w14:paraId="700C57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30" w:type="dxa"/>
            <w:left w:w="80" w:type="dxa"/>
            <w:bottom w:w="30" w:type="dxa"/>
            <w:right w:w="80" w:type="dxa"/>
          </w:tblCellMar>
        </w:tblPrEx>
        <w:tc>
          <w:tcPr>
            <w:tcW w:w="2494" w:type="dxa"/>
            <w:shd w:val="clear" w:color="auto" w:fill="E8F4FD"/>
          </w:tcPr>
          <w:p w14:paraId="653BAA59">
            <w:pPr>
              <w:spacing w:before="20" w:after="20" w:line="240" w:lineRule="auto"/>
            </w:pPr>
            <w:r>
              <w:rPr>
                <w:b/>
                <w:color w:val="002B49"/>
                <w:sz w:val="19"/>
              </w:rPr>
              <w:t>Self-Referral</w:t>
            </w:r>
          </w:p>
        </w:tc>
        <w:tc>
          <w:tcPr>
            <w:tcW w:w="7143" w:type="dxa"/>
          </w:tcPr>
          <w:p w14:paraId="1D5AE0CB">
            <w:pPr>
              <w:spacing w:before="20" w:after="20" w:line="240" w:lineRule="auto"/>
            </w:pPr>
            <w:r>
              <w:rPr>
                <w:sz w:val="19"/>
              </w:rPr>
              <w:t>Yes — direct client/family enquiry available</w:t>
            </w:r>
          </w:p>
        </w:tc>
      </w:tr>
      <w:tr w14:paraId="686E94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30" w:type="dxa"/>
            <w:left w:w="80" w:type="dxa"/>
            <w:bottom w:w="30" w:type="dxa"/>
            <w:right w:w="80" w:type="dxa"/>
          </w:tblCellMar>
        </w:tblPrEx>
        <w:tc>
          <w:tcPr>
            <w:tcW w:w="2494" w:type="dxa"/>
            <w:shd w:val="clear" w:color="auto" w:fill="E8F4FD"/>
          </w:tcPr>
          <w:p w14:paraId="69A66417">
            <w:pPr>
              <w:spacing w:before="20" w:after="20" w:line="240" w:lineRule="auto"/>
            </w:pPr>
            <w:r>
              <w:rPr>
                <w:b/>
                <w:color w:val="002B49"/>
                <w:sz w:val="19"/>
              </w:rPr>
              <w:t>Coverage</w:t>
            </w:r>
          </w:p>
        </w:tc>
        <w:tc>
          <w:tcPr>
            <w:tcW w:w="7143" w:type="dxa"/>
          </w:tcPr>
          <w:p w14:paraId="06D1CC3F">
            <w:pPr>
              <w:spacing w:before="20" w:after="20" w:line="240" w:lineRule="auto"/>
            </w:pPr>
            <w:r>
              <w:rPr>
                <w:sz w:val="19"/>
              </w:rPr>
              <w:t>Wider Brisbane region; head office in Upper Mount Gravatt (4122); exact service-area boundaries beyond 'wider Brisbane region' not published</w:t>
            </w:r>
          </w:p>
        </w:tc>
      </w:tr>
      <w:tr w14:paraId="2C61D3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30" w:type="dxa"/>
            <w:left w:w="80" w:type="dxa"/>
            <w:bottom w:w="30" w:type="dxa"/>
            <w:right w:w="80" w:type="dxa"/>
          </w:tblCellMar>
        </w:tblPrEx>
        <w:tc>
          <w:tcPr>
            <w:tcW w:w="2494" w:type="dxa"/>
            <w:shd w:val="clear" w:color="auto" w:fill="E8F4FD"/>
          </w:tcPr>
          <w:p w14:paraId="762CB672">
            <w:pPr>
              <w:spacing w:before="20" w:after="20" w:line="240" w:lineRule="auto"/>
            </w:pPr>
            <w:r>
              <w:rPr>
                <w:b/>
                <w:color w:val="002B49"/>
                <w:sz w:val="19"/>
              </w:rPr>
              <w:t>Languages / Interpreters</w:t>
            </w:r>
          </w:p>
        </w:tc>
        <w:tc>
          <w:tcPr>
            <w:tcW w:w="7143" w:type="dxa"/>
          </w:tcPr>
          <w:p w14:paraId="08A6847B">
            <w:pPr>
              <w:spacing w:before="20" w:after="20" w:line="240" w:lineRule="auto"/>
            </w:pPr>
            <w:r>
              <w:rPr>
                <w:sz w:val="19"/>
              </w:rPr>
              <w:t>Access to interpreting services</w:t>
            </w:r>
          </w:p>
        </w:tc>
      </w:tr>
      <w:tr w14:paraId="4B613F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30" w:type="dxa"/>
            <w:left w:w="80" w:type="dxa"/>
            <w:bottom w:w="30" w:type="dxa"/>
            <w:right w:w="80" w:type="dxa"/>
          </w:tblCellMar>
        </w:tblPrEx>
        <w:tc>
          <w:tcPr>
            <w:tcW w:w="2494" w:type="dxa"/>
            <w:shd w:val="clear" w:color="auto" w:fill="E8F4FD"/>
          </w:tcPr>
          <w:p w14:paraId="196B510D">
            <w:pPr>
              <w:spacing w:before="20" w:after="20" w:line="240" w:lineRule="auto"/>
            </w:pPr>
            <w:r>
              <w:rPr>
                <w:b/>
                <w:color w:val="002B49"/>
                <w:sz w:val="19"/>
              </w:rPr>
              <w:t>Verification Status</w:t>
            </w:r>
          </w:p>
        </w:tc>
        <w:tc>
          <w:tcPr>
            <w:tcW w:w="7143" w:type="dxa"/>
          </w:tcPr>
          <w:p w14:paraId="593440DB">
            <w:pPr>
              <w:spacing w:before="20" w:after="20" w:line="240" w:lineRule="auto"/>
            </w:pPr>
            <w:r>
              <w:rPr>
                <w:sz w:val="19"/>
                <w:lang w:val="en-US"/>
              </w:rPr>
              <w:t>REQUIRES VERIFICATION</w:t>
            </w:r>
            <w:r>
              <w:rPr>
                <w:sz w:val="19"/>
              </w:rPr>
              <w:t xml:space="preserve"> on current provider site as Department of Home Affairs-funded SETS</w:t>
            </w:r>
          </w:p>
        </w:tc>
      </w:tr>
    </w:tbl>
    <w:p w14:paraId="48694C5C">
      <w:pPr>
        <w:pStyle w:val="4"/>
      </w:pPr>
      <w:r>
        <w:rPr>
          <w:color w:val="002B49"/>
        </w:rPr>
        <w:t>Multicultural Community Centre Brisbane (MCC Brisbane) — SETS</w:t>
      </w:r>
    </w:p>
    <w:tbl>
      <w:tblPr>
        <w:tblStyle w:val="3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30" w:type="dxa"/>
          <w:left w:w="80" w:type="dxa"/>
          <w:bottom w:w="30" w:type="dxa"/>
          <w:right w:w="80" w:type="dxa"/>
        </w:tblCellMar>
      </w:tblPr>
      <w:tblGrid>
        <w:gridCol w:w="4819"/>
        <w:gridCol w:w="4819"/>
      </w:tblGrid>
      <w:tr w14:paraId="22CCB9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30" w:type="dxa"/>
            <w:left w:w="80" w:type="dxa"/>
            <w:bottom w:w="30" w:type="dxa"/>
            <w:right w:w="80" w:type="dxa"/>
          </w:tblCellMar>
        </w:tblPrEx>
        <w:tc>
          <w:tcPr>
            <w:tcW w:w="2494" w:type="dxa"/>
            <w:shd w:val="clear" w:color="auto" w:fill="E8F4FD"/>
          </w:tcPr>
          <w:p w14:paraId="0226D3DE">
            <w:pPr>
              <w:spacing w:before="20" w:after="20" w:line="240" w:lineRule="auto"/>
            </w:pPr>
            <w:r>
              <w:rPr>
                <w:b/>
                <w:color w:val="002B49"/>
                <w:sz w:val="19"/>
              </w:rPr>
              <w:t>Organisation</w:t>
            </w:r>
          </w:p>
        </w:tc>
        <w:tc>
          <w:tcPr>
            <w:tcW w:w="7143" w:type="dxa"/>
          </w:tcPr>
          <w:p w14:paraId="2A5544A0">
            <w:pPr>
              <w:spacing w:before="20" w:after="20" w:line="240" w:lineRule="auto"/>
            </w:pPr>
            <w:r>
              <w:rPr>
                <w:sz w:val="19"/>
              </w:rPr>
              <w:t>Multicultural Community Centre Brisbane</w:t>
            </w:r>
          </w:p>
        </w:tc>
      </w:tr>
      <w:tr w14:paraId="0532FF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30" w:type="dxa"/>
            <w:left w:w="80" w:type="dxa"/>
            <w:bottom w:w="30" w:type="dxa"/>
            <w:right w:w="80" w:type="dxa"/>
          </w:tblCellMar>
        </w:tblPrEx>
        <w:tc>
          <w:tcPr>
            <w:tcW w:w="2494" w:type="dxa"/>
            <w:shd w:val="clear" w:color="auto" w:fill="E8F4FD"/>
          </w:tcPr>
          <w:p w14:paraId="2DAA9E5F">
            <w:pPr>
              <w:spacing w:before="20" w:after="20" w:line="240" w:lineRule="auto"/>
            </w:pPr>
            <w:r>
              <w:rPr>
                <w:b/>
                <w:color w:val="002B49"/>
                <w:sz w:val="19"/>
              </w:rPr>
              <w:t>Service Category</w:t>
            </w:r>
          </w:p>
        </w:tc>
        <w:tc>
          <w:tcPr>
            <w:tcW w:w="7143" w:type="dxa"/>
          </w:tcPr>
          <w:p w14:paraId="217CCA8D">
            <w:pPr>
              <w:spacing w:before="20" w:after="20" w:line="240" w:lineRule="auto"/>
            </w:pPr>
            <w:r>
              <w:rPr>
                <w:sz w:val="19"/>
              </w:rPr>
              <w:t>Settlement casework; referrals; life skills; information sessions; youth support</w:t>
            </w:r>
          </w:p>
        </w:tc>
      </w:tr>
      <w:tr w14:paraId="034E7F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30" w:type="dxa"/>
            <w:left w:w="80" w:type="dxa"/>
            <w:bottom w:w="30" w:type="dxa"/>
            <w:right w:w="80" w:type="dxa"/>
          </w:tblCellMar>
        </w:tblPrEx>
        <w:tc>
          <w:tcPr>
            <w:tcW w:w="2494" w:type="dxa"/>
            <w:shd w:val="clear" w:color="auto" w:fill="E8F4FD"/>
          </w:tcPr>
          <w:p w14:paraId="7573ACEA">
            <w:pPr>
              <w:spacing w:before="20" w:after="20" w:line="240" w:lineRule="auto"/>
            </w:pPr>
            <w:r>
              <w:rPr>
                <w:b/>
                <w:color w:val="002B49"/>
                <w:sz w:val="19"/>
              </w:rPr>
              <w:t>Program / Service</w:t>
            </w:r>
          </w:p>
        </w:tc>
        <w:tc>
          <w:tcPr>
            <w:tcW w:w="7143" w:type="dxa"/>
          </w:tcPr>
          <w:p w14:paraId="00517DAA">
            <w:pPr>
              <w:spacing w:before="20" w:after="20" w:line="240" w:lineRule="auto"/>
            </w:pPr>
            <w:r>
              <w:rPr>
                <w:sz w:val="19"/>
              </w:rPr>
              <w:t>Settlement Engagement and Transition Support Program (SETS)</w:t>
            </w:r>
          </w:p>
        </w:tc>
      </w:tr>
      <w:tr w14:paraId="38CF5C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30" w:type="dxa"/>
            <w:left w:w="80" w:type="dxa"/>
            <w:bottom w:w="30" w:type="dxa"/>
            <w:right w:w="80" w:type="dxa"/>
          </w:tblCellMar>
        </w:tblPrEx>
        <w:tc>
          <w:tcPr>
            <w:tcW w:w="2494" w:type="dxa"/>
            <w:shd w:val="clear" w:color="auto" w:fill="E8F4FD"/>
          </w:tcPr>
          <w:p w14:paraId="1C1B09F3">
            <w:pPr>
              <w:spacing w:before="20" w:after="20" w:line="240" w:lineRule="auto"/>
            </w:pPr>
            <w:r>
              <w:rPr>
                <w:b/>
                <w:color w:val="002B49"/>
                <w:sz w:val="19"/>
              </w:rPr>
              <w:t>Service Description</w:t>
            </w:r>
          </w:p>
        </w:tc>
        <w:tc>
          <w:tcPr>
            <w:tcW w:w="7143" w:type="dxa"/>
          </w:tcPr>
          <w:p w14:paraId="31A4A15C">
            <w:pPr>
              <w:spacing w:before="20" w:after="20" w:line="240" w:lineRule="auto"/>
            </w:pPr>
            <w:r>
              <w:rPr>
                <w:sz w:val="19"/>
              </w:rPr>
              <w:t>Casework and referral to mainstream services, housing/Centrelink/health navigation, life skills, information sessions, and youth leadership/workforce transition.</w:t>
            </w:r>
          </w:p>
        </w:tc>
      </w:tr>
      <w:tr w14:paraId="107A0C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30" w:type="dxa"/>
            <w:left w:w="80" w:type="dxa"/>
            <w:bottom w:w="30" w:type="dxa"/>
            <w:right w:w="80" w:type="dxa"/>
          </w:tblCellMar>
        </w:tblPrEx>
        <w:tc>
          <w:tcPr>
            <w:tcW w:w="2494" w:type="dxa"/>
            <w:shd w:val="clear" w:color="auto" w:fill="E8F4FD"/>
          </w:tcPr>
          <w:p w14:paraId="460E927A">
            <w:pPr>
              <w:spacing w:before="20" w:after="20" w:line="240" w:lineRule="auto"/>
            </w:pPr>
            <w:r>
              <w:rPr>
                <w:b/>
                <w:color w:val="002B49"/>
                <w:sz w:val="19"/>
              </w:rPr>
              <w:t>Who They Support</w:t>
            </w:r>
          </w:p>
        </w:tc>
        <w:tc>
          <w:tcPr>
            <w:tcW w:w="7143" w:type="dxa"/>
          </w:tcPr>
          <w:p w14:paraId="0FB4A2AD">
            <w:pPr>
              <w:spacing w:before="20" w:after="20" w:line="240" w:lineRule="auto"/>
            </w:pPr>
            <w:r>
              <w:rPr>
                <w:sz w:val="19"/>
              </w:rPr>
              <w:t>Eligible migrants, refugees/humanitarian entrants, temporary and other eligible visa holders and youth</w:t>
            </w:r>
          </w:p>
        </w:tc>
      </w:tr>
      <w:tr w14:paraId="314C46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30" w:type="dxa"/>
            <w:left w:w="80" w:type="dxa"/>
            <w:bottom w:w="30" w:type="dxa"/>
            <w:right w:w="80" w:type="dxa"/>
          </w:tblCellMar>
        </w:tblPrEx>
        <w:tc>
          <w:tcPr>
            <w:tcW w:w="2494" w:type="dxa"/>
            <w:shd w:val="clear" w:color="auto" w:fill="E8F4FD"/>
          </w:tcPr>
          <w:p w14:paraId="73375F3C">
            <w:pPr>
              <w:spacing w:before="20" w:after="20" w:line="240" w:lineRule="auto"/>
            </w:pPr>
            <w:r>
              <w:rPr>
                <w:b/>
                <w:color w:val="002B49"/>
                <w:sz w:val="19"/>
              </w:rPr>
              <w:t>Eligibility</w:t>
            </w:r>
          </w:p>
        </w:tc>
        <w:tc>
          <w:tcPr>
            <w:tcW w:w="7143" w:type="dxa"/>
          </w:tcPr>
          <w:p w14:paraId="5A341170">
            <w:pPr>
              <w:spacing w:before="20" w:after="20" w:line="240" w:lineRule="auto"/>
            </w:pPr>
            <w:r>
              <w:rPr>
                <w:sz w:val="19"/>
              </w:rPr>
              <w:t>Provider page states clients must live permanently in Brisbane and generally have been in Australia less than 5 years; visa eligibility applies</w:t>
            </w:r>
          </w:p>
        </w:tc>
      </w:tr>
      <w:tr w14:paraId="269580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30" w:type="dxa"/>
            <w:left w:w="80" w:type="dxa"/>
            <w:bottom w:w="30" w:type="dxa"/>
            <w:right w:w="80" w:type="dxa"/>
          </w:tblCellMar>
        </w:tblPrEx>
        <w:tc>
          <w:tcPr>
            <w:tcW w:w="2494" w:type="dxa"/>
            <w:shd w:val="clear" w:color="auto" w:fill="E8F4FD"/>
          </w:tcPr>
          <w:p w14:paraId="718D81D1">
            <w:pPr>
              <w:spacing w:before="20" w:after="20" w:line="240" w:lineRule="auto"/>
            </w:pPr>
            <w:r>
              <w:rPr>
                <w:b/>
                <w:color w:val="002B49"/>
                <w:sz w:val="19"/>
              </w:rPr>
              <w:t>Address</w:t>
            </w:r>
          </w:p>
        </w:tc>
        <w:tc>
          <w:tcPr>
            <w:tcW w:w="7143" w:type="dxa"/>
          </w:tcPr>
          <w:p w14:paraId="5794A02E">
            <w:pPr>
              <w:spacing w:before="20" w:after="20" w:line="240" w:lineRule="auto"/>
            </w:pPr>
            <w:r>
              <w:rPr>
                <w:sz w:val="19"/>
              </w:rPr>
              <w:t>23 Foster Street, Newmarket QLD 4051 (office outside the Brisbane South East postcode list)</w:t>
            </w:r>
          </w:p>
        </w:tc>
      </w:tr>
      <w:tr w14:paraId="6076A0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30" w:type="dxa"/>
            <w:left w:w="80" w:type="dxa"/>
            <w:bottom w:w="30" w:type="dxa"/>
            <w:right w:w="80" w:type="dxa"/>
          </w:tblCellMar>
        </w:tblPrEx>
        <w:tc>
          <w:tcPr>
            <w:tcW w:w="2494" w:type="dxa"/>
            <w:shd w:val="clear" w:color="auto" w:fill="E8F4FD"/>
          </w:tcPr>
          <w:p w14:paraId="788A0AD9">
            <w:pPr>
              <w:spacing w:before="20" w:after="20" w:line="240" w:lineRule="auto"/>
            </w:pPr>
            <w:r>
              <w:rPr>
                <w:b/>
                <w:color w:val="002B49"/>
                <w:sz w:val="19"/>
              </w:rPr>
              <w:t>Phone</w:t>
            </w:r>
          </w:p>
        </w:tc>
        <w:tc>
          <w:tcPr>
            <w:tcW w:w="7143" w:type="dxa"/>
          </w:tcPr>
          <w:p w14:paraId="3875DD1E">
            <w:pPr>
              <w:spacing w:before="20" w:after="20" w:line="240" w:lineRule="auto"/>
            </w:pPr>
            <w:r>
              <w:rPr>
                <w:sz w:val="19"/>
              </w:rPr>
              <w:t>07 3257 1868</w:t>
            </w:r>
          </w:p>
        </w:tc>
      </w:tr>
      <w:tr w14:paraId="2A92C3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30" w:type="dxa"/>
            <w:left w:w="80" w:type="dxa"/>
            <w:bottom w:w="30" w:type="dxa"/>
            <w:right w:w="80" w:type="dxa"/>
          </w:tblCellMar>
        </w:tblPrEx>
        <w:tc>
          <w:tcPr>
            <w:tcW w:w="2494" w:type="dxa"/>
            <w:shd w:val="clear" w:color="auto" w:fill="E8F4FD"/>
          </w:tcPr>
          <w:p w14:paraId="025BB892">
            <w:pPr>
              <w:spacing w:before="20" w:after="20" w:line="240" w:lineRule="auto"/>
            </w:pPr>
            <w:r>
              <w:rPr>
                <w:b/>
                <w:color w:val="002B49"/>
                <w:sz w:val="19"/>
              </w:rPr>
              <w:t>Email</w:t>
            </w:r>
          </w:p>
        </w:tc>
        <w:tc>
          <w:tcPr>
            <w:tcW w:w="7143" w:type="dxa"/>
          </w:tcPr>
          <w:p w14:paraId="554E53FB">
            <w:pPr>
              <w:spacing w:before="20" w:after="20" w:line="240" w:lineRule="auto"/>
            </w:pPr>
            <w:r>
              <w:rPr>
                <w:sz w:val="19"/>
              </w:rPr>
              <w:t>info@mccbrisbane.org</w:t>
            </w:r>
          </w:p>
        </w:tc>
      </w:tr>
      <w:tr w14:paraId="67B905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30" w:type="dxa"/>
            <w:left w:w="80" w:type="dxa"/>
            <w:bottom w:w="30" w:type="dxa"/>
            <w:right w:w="80" w:type="dxa"/>
          </w:tblCellMar>
        </w:tblPrEx>
        <w:tc>
          <w:tcPr>
            <w:tcW w:w="2494" w:type="dxa"/>
            <w:shd w:val="clear" w:color="auto" w:fill="E8F4FD"/>
          </w:tcPr>
          <w:p w14:paraId="6070A5E5">
            <w:pPr>
              <w:spacing w:before="20" w:after="20" w:line="240" w:lineRule="auto"/>
            </w:pPr>
            <w:r>
              <w:rPr>
                <w:b/>
                <w:color w:val="002B49"/>
                <w:sz w:val="19"/>
              </w:rPr>
              <w:t>Website</w:t>
            </w:r>
          </w:p>
        </w:tc>
        <w:tc>
          <w:tcPr>
            <w:tcW w:w="7143" w:type="dxa"/>
          </w:tcPr>
          <w:p w14:paraId="4C52AC9E">
            <w:pPr>
              <w:spacing w:before="20" w:after="20" w:line="240" w:lineRule="auto"/>
            </w:pPr>
            <w:r>
              <w:fldChar w:fldCharType="begin"/>
            </w:r>
            <w:r>
              <w:instrText xml:space="preserve"> HYPERLINK "https://mccbrisbane.org" \h </w:instrText>
            </w:r>
            <w:r>
              <w:fldChar w:fldCharType="separate"/>
            </w:r>
            <w:r>
              <w:rPr>
                <w:rFonts w:ascii="Calibri" w:hAnsi="Calibri"/>
                <w:color w:val="0066CC"/>
                <w:sz w:val="19"/>
                <w:u w:val="single"/>
              </w:rPr>
              <w:t>https://mccbrisbane.org</w:t>
            </w:r>
            <w:r>
              <w:rPr>
                <w:rFonts w:ascii="Calibri" w:hAnsi="Calibri"/>
                <w:color w:val="0066CC"/>
                <w:sz w:val="19"/>
                <w:u w:val="single"/>
              </w:rPr>
              <w:fldChar w:fldCharType="end"/>
            </w:r>
          </w:p>
        </w:tc>
      </w:tr>
      <w:tr w14:paraId="5AC778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30" w:type="dxa"/>
            <w:left w:w="80" w:type="dxa"/>
            <w:bottom w:w="30" w:type="dxa"/>
            <w:right w:w="80" w:type="dxa"/>
          </w:tblCellMar>
        </w:tblPrEx>
        <w:tc>
          <w:tcPr>
            <w:tcW w:w="2494" w:type="dxa"/>
            <w:shd w:val="clear" w:color="auto" w:fill="E8F4FD"/>
          </w:tcPr>
          <w:p w14:paraId="5F1A0E7C">
            <w:pPr>
              <w:spacing w:before="20" w:after="20" w:line="240" w:lineRule="auto"/>
            </w:pPr>
            <w:r>
              <w:rPr>
                <w:b/>
                <w:color w:val="002B49"/>
                <w:sz w:val="19"/>
              </w:rPr>
              <w:t>Referral / Intake</w:t>
            </w:r>
          </w:p>
        </w:tc>
        <w:tc>
          <w:tcPr>
            <w:tcW w:w="7143" w:type="dxa"/>
          </w:tcPr>
          <w:p w14:paraId="54E7C5C7">
            <w:pPr>
              <w:spacing w:before="20" w:after="20" w:line="240" w:lineRule="auto"/>
            </w:pPr>
            <w:r>
              <w:rPr>
                <w:sz w:val="19"/>
              </w:rPr>
              <w:t>Contact MCC by phone, email or contact form</w:t>
            </w:r>
          </w:p>
        </w:tc>
      </w:tr>
      <w:tr w14:paraId="515815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30" w:type="dxa"/>
            <w:left w:w="80" w:type="dxa"/>
            <w:bottom w:w="30" w:type="dxa"/>
            <w:right w:w="80" w:type="dxa"/>
          </w:tblCellMar>
        </w:tblPrEx>
        <w:tc>
          <w:tcPr>
            <w:tcW w:w="2494" w:type="dxa"/>
            <w:shd w:val="clear" w:color="auto" w:fill="E8F4FD"/>
          </w:tcPr>
          <w:p w14:paraId="0F702068">
            <w:pPr>
              <w:spacing w:before="20" w:after="20" w:line="240" w:lineRule="auto"/>
            </w:pPr>
            <w:r>
              <w:rPr>
                <w:b/>
                <w:color w:val="002B49"/>
                <w:sz w:val="19"/>
              </w:rPr>
              <w:t>Coverage</w:t>
            </w:r>
          </w:p>
        </w:tc>
        <w:tc>
          <w:tcPr>
            <w:tcW w:w="7143" w:type="dxa"/>
          </w:tcPr>
          <w:p w14:paraId="2D9F104C">
            <w:pPr>
              <w:spacing w:before="20" w:after="20" w:line="240" w:lineRule="auto"/>
            </w:pPr>
            <w:r>
              <w:rPr>
                <w:sz w:val="19"/>
              </w:rPr>
              <w:t>Brisbane residents, therefore potentially all supplied Brisbane City Council postcode areas, subject to SETS eligibility</w:t>
            </w:r>
          </w:p>
        </w:tc>
      </w:tr>
      <w:tr w14:paraId="1E202D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30" w:type="dxa"/>
            <w:left w:w="80" w:type="dxa"/>
            <w:bottom w:w="30" w:type="dxa"/>
            <w:right w:w="80" w:type="dxa"/>
          </w:tblCellMar>
        </w:tblPrEx>
        <w:tc>
          <w:tcPr>
            <w:tcW w:w="2494" w:type="dxa"/>
            <w:shd w:val="clear" w:color="auto" w:fill="E8F4FD"/>
          </w:tcPr>
          <w:p w14:paraId="1CA1DF8F">
            <w:pPr>
              <w:spacing w:before="20" w:after="20" w:line="240" w:lineRule="auto"/>
            </w:pPr>
            <w:r>
              <w:rPr>
                <w:b/>
                <w:color w:val="002B49"/>
                <w:sz w:val="19"/>
              </w:rPr>
              <w:t>Verification Status</w:t>
            </w:r>
          </w:p>
        </w:tc>
        <w:tc>
          <w:tcPr>
            <w:tcW w:w="7143" w:type="dxa"/>
          </w:tcPr>
          <w:p w14:paraId="0B60DA51">
            <w:pPr>
              <w:spacing w:before="20" w:after="20" w:line="240" w:lineRule="auto"/>
            </w:pPr>
            <w:r>
              <w:rPr>
                <w:sz w:val="19"/>
                <w:lang w:val="en-US"/>
              </w:rPr>
              <w:t>REQUIRES VERIFICATION</w:t>
            </w:r>
            <w:r>
              <w:rPr>
                <w:sz w:val="19"/>
              </w:rPr>
              <w:t xml:space="preserve"> as a current SETS provider by Home Affairs. Caution: the provider's web page retains some legacy terminology (DSS/SSP); current visa and referral rules should be reconfirmed directly with MCC. Contact details independently supported by Queensland Government.</w:t>
            </w:r>
          </w:p>
        </w:tc>
      </w:tr>
    </w:tbl>
    <w:p w14:paraId="751CA60C">
      <w:pPr>
        <w:pStyle w:val="4"/>
      </w:pPr>
      <w:r>
        <w:rPr>
          <w:color w:val="002B49"/>
        </w:rPr>
        <w:t>Refugee and Immigration Legal Service (RAILS) — Refugee Family Reunion (SETS-linked)</w:t>
      </w:r>
    </w:p>
    <w:tbl>
      <w:tblPr>
        <w:tblStyle w:val="3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30" w:type="dxa"/>
          <w:left w:w="80" w:type="dxa"/>
          <w:bottom w:w="30" w:type="dxa"/>
          <w:right w:w="80" w:type="dxa"/>
        </w:tblCellMar>
      </w:tblPr>
      <w:tblGrid>
        <w:gridCol w:w="4819"/>
        <w:gridCol w:w="4819"/>
      </w:tblGrid>
      <w:tr w14:paraId="41E6C8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30" w:type="dxa"/>
            <w:left w:w="80" w:type="dxa"/>
            <w:bottom w:w="30" w:type="dxa"/>
            <w:right w:w="80" w:type="dxa"/>
          </w:tblCellMar>
        </w:tblPrEx>
        <w:tc>
          <w:tcPr>
            <w:tcW w:w="2494" w:type="dxa"/>
            <w:shd w:val="clear" w:color="auto" w:fill="E8F4FD"/>
          </w:tcPr>
          <w:p w14:paraId="43D6C8BA">
            <w:pPr>
              <w:spacing w:before="20" w:after="20" w:line="240" w:lineRule="auto"/>
            </w:pPr>
            <w:r>
              <w:rPr>
                <w:b/>
                <w:color w:val="002B49"/>
                <w:sz w:val="19"/>
              </w:rPr>
              <w:t>Organisation</w:t>
            </w:r>
          </w:p>
        </w:tc>
        <w:tc>
          <w:tcPr>
            <w:tcW w:w="7143" w:type="dxa"/>
          </w:tcPr>
          <w:p w14:paraId="547AEE33">
            <w:pPr>
              <w:spacing w:before="20" w:after="20" w:line="240" w:lineRule="auto"/>
            </w:pPr>
            <w:r>
              <w:rPr>
                <w:sz w:val="19"/>
              </w:rPr>
              <w:t>Refugee and Immigration Legal Service (RAILS)</w:t>
            </w:r>
          </w:p>
        </w:tc>
      </w:tr>
      <w:tr w14:paraId="35C32B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30" w:type="dxa"/>
            <w:left w:w="80" w:type="dxa"/>
            <w:bottom w:w="30" w:type="dxa"/>
            <w:right w:w="80" w:type="dxa"/>
          </w:tblCellMar>
        </w:tblPrEx>
        <w:tc>
          <w:tcPr>
            <w:tcW w:w="2494" w:type="dxa"/>
            <w:shd w:val="clear" w:color="auto" w:fill="E8F4FD"/>
          </w:tcPr>
          <w:p w14:paraId="395518F9">
            <w:pPr>
              <w:spacing w:before="20" w:after="20" w:line="240" w:lineRule="auto"/>
            </w:pPr>
            <w:r>
              <w:rPr>
                <w:b/>
                <w:color w:val="002B49"/>
                <w:sz w:val="19"/>
              </w:rPr>
              <w:t>Service Category</w:t>
            </w:r>
          </w:p>
        </w:tc>
        <w:tc>
          <w:tcPr>
            <w:tcW w:w="7143" w:type="dxa"/>
          </w:tcPr>
          <w:p w14:paraId="62322A7E">
            <w:pPr>
              <w:spacing w:before="20" w:after="20" w:line="240" w:lineRule="auto"/>
            </w:pPr>
            <w:r>
              <w:rPr>
                <w:sz w:val="19"/>
              </w:rPr>
              <w:t>Immigration/refugee legal assistance; family reunion; settlement-linked legal support</w:t>
            </w:r>
          </w:p>
        </w:tc>
      </w:tr>
      <w:tr w14:paraId="67821F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30" w:type="dxa"/>
            <w:left w:w="80" w:type="dxa"/>
            <w:bottom w:w="30" w:type="dxa"/>
            <w:right w:w="80" w:type="dxa"/>
          </w:tblCellMar>
        </w:tblPrEx>
        <w:tc>
          <w:tcPr>
            <w:tcW w:w="2494" w:type="dxa"/>
            <w:shd w:val="clear" w:color="auto" w:fill="E8F4FD"/>
          </w:tcPr>
          <w:p w14:paraId="1039A50C">
            <w:pPr>
              <w:spacing w:before="20" w:after="20" w:line="240" w:lineRule="auto"/>
            </w:pPr>
            <w:r>
              <w:rPr>
                <w:b/>
                <w:color w:val="002B49"/>
                <w:sz w:val="19"/>
              </w:rPr>
              <w:t>Program / Service</w:t>
            </w:r>
          </w:p>
        </w:tc>
        <w:tc>
          <w:tcPr>
            <w:tcW w:w="7143" w:type="dxa"/>
          </w:tcPr>
          <w:p w14:paraId="55988B96">
            <w:pPr>
              <w:spacing w:before="20" w:after="20" w:line="240" w:lineRule="auto"/>
            </w:pPr>
            <w:r>
              <w:rPr>
                <w:sz w:val="19"/>
              </w:rPr>
              <w:t>Refugee Family Reunion (RFR) — SETS-linked/funded service</w:t>
            </w:r>
          </w:p>
        </w:tc>
      </w:tr>
      <w:tr w14:paraId="7E7C3E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30" w:type="dxa"/>
            <w:left w:w="80" w:type="dxa"/>
            <w:bottom w:w="30" w:type="dxa"/>
            <w:right w:w="80" w:type="dxa"/>
          </w:tblCellMar>
        </w:tblPrEx>
        <w:tc>
          <w:tcPr>
            <w:tcW w:w="2494" w:type="dxa"/>
            <w:shd w:val="clear" w:color="auto" w:fill="E8F4FD"/>
          </w:tcPr>
          <w:p w14:paraId="5573F802">
            <w:pPr>
              <w:spacing w:before="20" w:after="20" w:line="240" w:lineRule="auto"/>
            </w:pPr>
            <w:r>
              <w:rPr>
                <w:b/>
                <w:color w:val="002B49"/>
                <w:sz w:val="19"/>
              </w:rPr>
              <w:t>Service Description</w:t>
            </w:r>
          </w:p>
        </w:tc>
        <w:tc>
          <w:tcPr>
            <w:tcW w:w="7143" w:type="dxa"/>
          </w:tcPr>
          <w:p w14:paraId="490798E0">
            <w:pPr>
              <w:spacing w:before="20" w:after="20" w:line="240" w:lineRule="auto"/>
            </w:pPr>
            <w:r>
              <w:rPr>
                <w:sz w:val="19"/>
              </w:rPr>
              <w:t>Free immigration/refugee legal advice, advocacy, visa and family reunion assistance and referrals; RFR outreach operates with settlement organisations.</w:t>
            </w:r>
          </w:p>
        </w:tc>
      </w:tr>
      <w:tr w14:paraId="2678F2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30" w:type="dxa"/>
            <w:left w:w="80" w:type="dxa"/>
            <w:bottom w:w="30" w:type="dxa"/>
            <w:right w:w="80" w:type="dxa"/>
          </w:tblCellMar>
        </w:tblPrEx>
        <w:tc>
          <w:tcPr>
            <w:tcW w:w="2494" w:type="dxa"/>
            <w:shd w:val="clear" w:color="auto" w:fill="E8F4FD"/>
          </w:tcPr>
          <w:p w14:paraId="57755E6B">
            <w:pPr>
              <w:spacing w:before="20" w:after="20" w:line="240" w:lineRule="auto"/>
            </w:pPr>
            <w:r>
              <w:rPr>
                <w:b/>
                <w:color w:val="002B49"/>
                <w:sz w:val="19"/>
              </w:rPr>
              <w:t>Who They Support</w:t>
            </w:r>
          </w:p>
        </w:tc>
        <w:tc>
          <w:tcPr>
            <w:tcW w:w="7143" w:type="dxa"/>
          </w:tcPr>
          <w:p w14:paraId="779F3C84">
            <w:pPr>
              <w:spacing w:before="20" w:after="20" w:line="240" w:lineRule="auto"/>
            </w:pPr>
            <w:r>
              <w:rPr>
                <w:sz w:val="19"/>
              </w:rPr>
              <w:t>Refugees, migrants and asylum seekers; particularly refugees requiring family reunion or immigration legal help</w:t>
            </w:r>
          </w:p>
        </w:tc>
      </w:tr>
      <w:tr w14:paraId="661676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30" w:type="dxa"/>
            <w:left w:w="80" w:type="dxa"/>
            <w:bottom w:w="30" w:type="dxa"/>
            <w:right w:w="80" w:type="dxa"/>
          </w:tblCellMar>
        </w:tblPrEx>
        <w:tc>
          <w:tcPr>
            <w:tcW w:w="2494" w:type="dxa"/>
            <w:shd w:val="clear" w:color="auto" w:fill="E8F4FD"/>
          </w:tcPr>
          <w:p w14:paraId="2293268B">
            <w:pPr>
              <w:spacing w:before="20" w:after="20" w:line="240" w:lineRule="auto"/>
            </w:pPr>
            <w:r>
              <w:rPr>
                <w:b/>
                <w:color w:val="002B49"/>
                <w:sz w:val="19"/>
              </w:rPr>
              <w:t>Eligibility</w:t>
            </w:r>
          </w:p>
        </w:tc>
        <w:tc>
          <w:tcPr>
            <w:tcW w:w="7143" w:type="dxa"/>
          </w:tcPr>
          <w:p w14:paraId="3CE0ADCF">
            <w:pPr>
              <w:spacing w:before="20" w:after="20" w:line="240" w:lineRule="auto"/>
            </w:pPr>
            <w:r>
              <w:rPr>
                <w:sz w:val="19"/>
              </w:rPr>
              <w:t>RFR: refugees/permanent protection holders seeking to reunite with displaced family; broader RAILS legal help available to Queensland residents de</w:t>
            </w:r>
            <w:r>
              <w:rPr>
                <w:sz w:val="19"/>
                <w:lang w:val="en-US"/>
              </w:rPr>
              <w:t>REQUIRES VERIFICATION</w:t>
            </w:r>
            <w:r>
              <w:rPr>
                <w:sz w:val="19"/>
              </w:rPr>
              <w:t xml:space="preserve"> on matter/eligibility</w:t>
            </w:r>
          </w:p>
        </w:tc>
      </w:tr>
      <w:tr w14:paraId="2657B1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30" w:type="dxa"/>
            <w:left w:w="80" w:type="dxa"/>
            <w:bottom w:w="30" w:type="dxa"/>
            <w:right w:w="80" w:type="dxa"/>
          </w:tblCellMar>
        </w:tblPrEx>
        <w:tc>
          <w:tcPr>
            <w:tcW w:w="2494" w:type="dxa"/>
            <w:shd w:val="clear" w:color="auto" w:fill="E8F4FD"/>
          </w:tcPr>
          <w:p w14:paraId="2EB0F0D0">
            <w:pPr>
              <w:spacing w:before="20" w:after="20" w:line="240" w:lineRule="auto"/>
            </w:pPr>
            <w:r>
              <w:rPr>
                <w:b/>
                <w:color w:val="002B49"/>
                <w:sz w:val="19"/>
              </w:rPr>
              <w:t>Address</w:t>
            </w:r>
          </w:p>
        </w:tc>
        <w:tc>
          <w:tcPr>
            <w:tcW w:w="7143" w:type="dxa"/>
          </w:tcPr>
          <w:p w14:paraId="1A491631">
            <w:pPr>
              <w:spacing w:before="20" w:after="20" w:line="240" w:lineRule="auto"/>
            </w:pPr>
            <w:r>
              <w:rPr>
                <w:sz w:val="19"/>
              </w:rPr>
              <w:t>Level 3, 43 Peel Street, South Brisbane QLD 4101</w:t>
            </w:r>
          </w:p>
        </w:tc>
      </w:tr>
      <w:tr w14:paraId="631457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30" w:type="dxa"/>
            <w:left w:w="80" w:type="dxa"/>
            <w:bottom w:w="30" w:type="dxa"/>
            <w:right w:w="80" w:type="dxa"/>
          </w:tblCellMar>
        </w:tblPrEx>
        <w:tc>
          <w:tcPr>
            <w:tcW w:w="2494" w:type="dxa"/>
            <w:shd w:val="clear" w:color="auto" w:fill="E8F4FD"/>
          </w:tcPr>
          <w:p w14:paraId="39DA4705">
            <w:pPr>
              <w:spacing w:before="20" w:after="20" w:line="240" w:lineRule="auto"/>
            </w:pPr>
            <w:r>
              <w:rPr>
                <w:b/>
                <w:color w:val="002B49"/>
                <w:sz w:val="19"/>
              </w:rPr>
              <w:t>Phone</w:t>
            </w:r>
          </w:p>
        </w:tc>
        <w:tc>
          <w:tcPr>
            <w:tcW w:w="7143" w:type="dxa"/>
          </w:tcPr>
          <w:p w14:paraId="51C264FC">
            <w:pPr>
              <w:spacing w:before="20" w:after="20" w:line="240" w:lineRule="auto"/>
            </w:pPr>
            <w:r>
              <w:rPr>
                <w:sz w:val="19"/>
              </w:rPr>
              <w:t>07 3846 9300</w:t>
            </w:r>
          </w:p>
        </w:tc>
      </w:tr>
      <w:tr w14:paraId="200A2A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30" w:type="dxa"/>
            <w:left w:w="80" w:type="dxa"/>
            <w:bottom w:w="30" w:type="dxa"/>
            <w:right w:w="80" w:type="dxa"/>
          </w:tblCellMar>
        </w:tblPrEx>
        <w:tc>
          <w:tcPr>
            <w:tcW w:w="2494" w:type="dxa"/>
            <w:shd w:val="clear" w:color="auto" w:fill="E8F4FD"/>
          </w:tcPr>
          <w:p w14:paraId="4D03A9A1">
            <w:pPr>
              <w:spacing w:before="20" w:after="20" w:line="240" w:lineRule="auto"/>
            </w:pPr>
            <w:r>
              <w:rPr>
                <w:b/>
                <w:color w:val="002B49"/>
                <w:sz w:val="19"/>
              </w:rPr>
              <w:t>Email</w:t>
            </w:r>
          </w:p>
        </w:tc>
        <w:tc>
          <w:tcPr>
            <w:tcW w:w="7143" w:type="dxa"/>
          </w:tcPr>
          <w:p w14:paraId="5839CC59">
            <w:pPr>
              <w:spacing w:before="20" w:after="20" w:line="240" w:lineRule="auto"/>
            </w:pPr>
            <w:r>
              <w:rPr>
                <w:sz w:val="19"/>
              </w:rPr>
              <w:t>admin@rails.org.au</w:t>
            </w:r>
          </w:p>
        </w:tc>
      </w:tr>
      <w:tr w14:paraId="3977FC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30" w:type="dxa"/>
            <w:left w:w="80" w:type="dxa"/>
            <w:bottom w:w="30" w:type="dxa"/>
            <w:right w:w="80" w:type="dxa"/>
          </w:tblCellMar>
        </w:tblPrEx>
        <w:tc>
          <w:tcPr>
            <w:tcW w:w="2494" w:type="dxa"/>
            <w:shd w:val="clear" w:color="auto" w:fill="E8F4FD"/>
          </w:tcPr>
          <w:p w14:paraId="6486C2BA">
            <w:pPr>
              <w:spacing w:before="20" w:after="20" w:line="240" w:lineRule="auto"/>
            </w:pPr>
            <w:r>
              <w:rPr>
                <w:b/>
                <w:color w:val="002B49"/>
                <w:sz w:val="19"/>
              </w:rPr>
              <w:t>Website</w:t>
            </w:r>
          </w:p>
        </w:tc>
        <w:tc>
          <w:tcPr>
            <w:tcW w:w="7143" w:type="dxa"/>
          </w:tcPr>
          <w:p w14:paraId="0FBE97CF">
            <w:pPr>
              <w:spacing w:before="20" w:after="20" w:line="240" w:lineRule="auto"/>
            </w:pPr>
            <w:r>
              <w:fldChar w:fldCharType="begin"/>
            </w:r>
            <w:r>
              <w:instrText xml:space="preserve"> HYPERLINK "https://www.rails.org.au" \h </w:instrText>
            </w:r>
            <w:r>
              <w:fldChar w:fldCharType="separate"/>
            </w:r>
            <w:r>
              <w:rPr>
                <w:rFonts w:ascii="Calibri" w:hAnsi="Calibri"/>
                <w:color w:val="0066CC"/>
                <w:sz w:val="19"/>
                <w:u w:val="single"/>
              </w:rPr>
              <w:t>https://www.rails.org.au</w:t>
            </w:r>
            <w:r>
              <w:rPr>
                <w:rFonts w:ascii="Calibri" w:hAnsi="Calibri"/>
                <w:color w:val="0066CC"/>
                <w:sz w:val="19"/>
                <w:u w:val="single"/>
              </w:rPr>
              <w:fldChar w:fldCharType="end"/>
            </w:r>
          </w:p>
        </w:tc>
      </w:tr>
      <w:tr w14:paraId="156F99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30" w:type="dxa"/>
            <w:left w:w="80" w:type="dxa"/>
            <w:bottom w:w="30" w:type="dxa"/>
            <w:right w:w="80" w:type="dxa"/>
          </w:tblCellMar>
        </w:tblPrEx>
        <w:tc>
          <w:tcPr>
            <w:tcW w:w="2494" w:type="dxa"/>
            <w:shd w:val="clear" w:color="auto" w:fill="E8F4FD"/>
          </w:tcPr>
          <w:p w14:paraId="19BCAA70">
            <w:pPr>
              <w:spacing w:before="20" w:after="20" w:line="240" w:lineRule="auto"/>
            </w:pPr>
            <w:r>
              <w:rPr>
                <w:b/>
                <w:color w:val="002B49"/>
                <w:sz w:val="19"/>
              </w:rPr>
              <w:t>Referral / Intake</w:t>
            </w:r>
          </w:p>
        </w:tc>
        <w:tc>
          <w:tcPr>
            <w:tcW w:w="7143" w:type="dxa"/>
          </w:tcPr>
          <w:p w14:paraId="3E3D940A">
            <w:pPr>
              <w:spacing w:before="20" w:after="20" w:line="240" w:lineRule="auto"/>
            </w:pPr>
            <w:r>
              <w:rPr>
                <w:sz w:val="19"/>
              </w:rPr>
              <w:t>Self-referral form, agency referral form, Settlement Agency RFR referral, email or phone</w:t>
            </w:r>
          </w:p>
        </w:tc>
      </w:tr>
      <w:tr w14:paraId="79D453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30" w:type="dxa"/>
            <w:left w:w="80" w:type="dxa"/>
            <w:bottom w:w="30" w:type="dxa"/>
            <w:right w:w="80" w:type="dxa"/>
          </w:tblCellMar>
        </w:tblPrEx>
        <w:tc>
          <w:tcPr>
            <w:tcW w:w="2494" w:type="dxa"/>
            <w:shd w:val="clear" w:color="auto" w:fill="E8F4FD"/>
          </w:tcPr>
          <w:p w14:paraId="7A3A0A53">
            <w:pPr>
              <w:spacing w:before="20" w:after="20" w:line="240" w:lineRule="auto"/>
            </w:pPr>
            <w:r>
              <w:rPr>
                <w:b/>
                <w:color w:val="002B49"/>
                <w:sz w:val="19"/>
              </w:rPr>
              <w:t>Self-Referral</w:t>
            </w:r>
          </w:p>
        </w:tc>
        <w:tc>
          <w:tcPr>
            <w:tcW w:w="7143" w:type="dxa"/>
          </w:tcPr>
          <w:p w14:paraId="5C989B8F">
            <w:pPr>
              <w:spacing w:before="20" w:after="20" w:line="240" w:lineRule="auto"/>
            </w:pPr>
            <w:r>
              <w:rPr>
                <w:sz w:val="19"/>
              </w:rPr>
              <w:t>Yes — explicitly</w:t>
            </w:r>
          </w:p>
        </w:tc>
      </w:tr>
      <w:tr w14:paraId="377062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30" w:type="dxa"/>
            <w:left w:w="80" w:type="dxa"/>
            <w:bottom w:w="30" w:type="dxa"/>
            <w:right w:w="80" w:type="dxa"/>
          </w:tblCellMar>
        </w:tblPrEx>
        <w:tc>
          <w:tcPr>
            <w:tcW w:w="2494" w:type="dxa"/>
            <w:shd w:val="clear" w:color="auto" w:fill="E8F4FD"/>
          </w:tcPr>
          <w:p w14:paraId="39D306A6">
            <w:pPr>
              <w:spacing w:before="20" w:after="20" w:line="240" w:lineRule="auto"/>
            </w:pPr>
            <w:r>
              <w:rPr>
                <w:b/>
                <w:color w:val="002B49"/>
                <w:sz w:val="19"/>
              </w:rPr>
              <w:t>Coverage</w:t>
            </w:r>
          </w:p>
        </w:tc>
        <w:tc>
          <w:tcPr>
            <w:tcW w:w="7143" w:type="dxa"/>
          </w:tcPr>
          <w:p w14:paraId="0E9C4EFC">
            <w:pPr>
              <w:spacing w:before="20" w:after="20" w:line="240" w:lineRule="auto"/>
            </w:pPr>
            <w:r>
              <w:rPr>
                <w:sz w:val="19"/>
              </w:rPr>
              <w:t>Queensland-wide; RFR advice outreach includes Woolloongabba (4102) and Logan</w:t>
            </w:r>
          </w:p>
        </w:tc>
      </w:tr>
      <w:tr w14:paraId="288672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30" w:type="dxa"/>
            <w:left w:w="80" w:type="dxa"/>
            <w:bottom w:w="30" w:type="dxa"/>
            <w:right w:w="80" w:type="dxa"/>
          </w:tblCellMar>
        </w:tblPrEx>
        <w:tc>
          <w:tcPr>
            <w:tcW w:w="2494" w:type="dxa"/>
            <w:shd w:val="clear" w:color="auto" w:fill="E8F4FD"/>
          </w:tcPr>
          <w:p w14:paraId="339DD18D">
            <w:pPr>
              <w:spacing w:before="20" w:after="20" w:line="240" w:lineRule="auto"/>
            </w:pPr>
            <w:r>
              <w:rPr>
                <w:b/>
                <w:color w:val="002B49"/>
                <w:sz w:val="19"/>
              </w:rPr>
              <w:t>Cost</w:t>
            </w:r>
          </w:p>
        </w:tc>
        <w:tc>
          <w:tcPr>
            <w:tcW w:w="7143" w:type="dxa"/>
          </w:tcPr>
          <w:p w14:paraId="2FBBD15A">
            <w:pPr>
              <w:spacing w:before="20" w:after="20" w:line="240" w:lineRule="auto"/>
            </w:pPr>
            <w:r>
              <w:rPr>
                <w:sz w:val="19"/>
              </w:rPr>
              <w:t>Free legal assistance/advice subject to service eligibility and capacity</w:t>
            </w:r>
          </w:p>
        </w:tc>
      </w:tr>
      <w:tr w14:paraId="112BFA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30" w:type="dxa"/>
            <w:left w:w="80" w:type="dxa"/>
            <w:bottom w:w="30" w:type="dxa"/>
            <w:right w:w="80" w:type="dxa"/>
          </w:tblCellMar>
        </w:tblPrEx>
        <w:tc>
          <w:tcPr>
            <w:tcW w:w="2494" w:type="dxa"/>
            <w:shd w:val="clear" w:color="auto" w:fill="E8F4FD"/>
          </w:tcPr>
          <w:p w14:paraId="081A34CC">
            <w:pPr>
              <w:spacing w:before="20" w:after="20" w:line="240" w:lineRule="auto"/>
            </w:pPr>
            <w:r>
              <w:rPr>
                <w:b/>
                <w:color w:val="002B49"/>
                <w:sz w:val="19"/>
              </w:rPr>
              <w:t>Verification Status</w:t>
            </w:r>
          </w:p>
        </w:tc>
        <w:tc>
          <w:tcPr>
            <w:tcW w:w="7143" w:type="dxa"/>
          </w:tcPr>
          <w:p w14:paraId="2D4B170F">
            <w:pPr>
              <w:spacing w:before="20" w:after="20" w:line="240" w:lineRule="auto"/>
            </w:pPr>
            <w:r>
              <w:rPr>
                <w:sz w:val="19"/>
                <w:lang w:val="en-US"/>
              </w:rPr>
              <w:t>REQUIRES VERIFICATION</w:t>
            </w:r>
            <w:r>
              <w:rPr>
                <w:sz w:val="19"/>
              </w:rPr>
              <w:t xml:space="preserve"> — current provider pages + Home Affairs SETS listing</w:t>
            </w:r>
          </w:p>
        </w:tc>
      </w:tr>
    </w:tbl>
    <w:p w14:paraId="3DAE8B3E">
      <w:pPr>
        <w:spacing w:before="0" w:after="120"/>
      </w:pPr>
      <w:r>
        <w:rPr>
          <w:b w:val="0"/>
          <w:i w:val="0"/>
          <w:sz w:val="21"/>
        </w:rPr>
        <w:t>See ATTACHMENT C for a summary SETS provider table.</w:t>
      </w:r>
    </w:p>
    <w:p w14:paraId="20E750B4">
      <w:r>
        <w:br w:type="page"/>
      </w:r>
    </w:p>
    <w:p w14:paraId="210D3AFA">
      <w:pPr>
        <w:pStyle w:val="2"/>
      </w:pPr>
      <w:r>
        <w:rPr>
          <w:color w:val="002B49"/>
        </w:rPr>
        <w:t>5. Workforce Australia</w:t>
      </w:r>
    </w:p>
    <w:p w14:paraId="18739494">
      <w:pPr>
        <w:spacing w:before="0" w:after="120"/>
      </w:pPr>
      <w:r>
        <w:rPr>
          <w:b w:val="0"/>
          <w:i w:val="0"/>
          <w:sz w:val="21"/>
        </w:rPr>
        <w:t>Workforce Australia is the employment service delivered by the Department of Employment and Workplace Relations. It includes:</w:t>
      </w:r>
    </w:p>
    <w:p w14:paraId="6F6F12A2">
      <w:pPr>
        <w:pStyle w:val="23"/>
        <w:spacing w:before="0" w:after="40"/>
      </w:pPr>
      <w:r>
        <w:rPr>
          <w:b w:val="0"/>
          <w:i w:val="0"/>
          <w:sz w:val="21"/>
        </w:rPr>
        <w:t>An online service and platform.</w:t>
      </w:r>
    </w:p>
    <w:p w14:paraId="2862854D">
      <w:pPr>
        <w:pStyle w:val="23"/>
        <w:spacing w:before="0" w:after="40"/>
      </w:pPr>
      <w:r>
        <w:rPr>
          <w:b w:val="0"/>
          <w:i w:val="0"/>
          <w:sz w:val="21"/>
        </w:rPr>
        <w:t>A network of providers delivering tailored support.</w:t>
      </w:r>
    </w:p>
    <w:p w14:paraId="11C06E90">
      <w:pPr>
        <w:spacing w:before="0" w:after="120"/>
      </w:pPr>
      <w:r>
        <w:rPr>
          <w:b w:val="0"/>
          <w:i w:val="0"/>
          <w:sz w:val="21"/>
        </w:rPr>
        <w:t>All Australians can use Workforce Australia's online tools and resources. If a person is claiming income support with mutual obligation requirements, they must participate in either Workforce Australia Online or a Workforce Australia Employment Service Provider, de</w:t>
      </w:r>
      <w:r>
        <w:rPr>
          <w:b w:val="0"/>
          <w:i w:val="0"/>
          <w:sz w:val="21"/>
          <w:lang w:val="en-US"/>
        </w:rPr>
        <w:t>REQUIRES VERIFICATION</w:t>
      </w:r>
      <w:r>
        <w:rPr>
          <w:b w:val="0"/>
          <w:i w:val="0"/>
          <w:sz w:val="21"/>
        </w:rPr>
        <w:t xml:space="preserve"> on their circumstances and the answers provided in the Jobseeker Snapshot.</w:t>
      </w:r>
    </w:p>
    <w:p w14:paraId="16FBE156">
      <w:pPr>
        <w:spacing w:before="0" w:after="120"/>
      </w:pPr>
      <w:r>
        <w:rPr>
          <w:b w:val="0"/>
          <w:i w:val="0"/>
          <w:sz w:val="21"/>
        </w:rPr>
        <w:t>The four main programs under the Workforce Australia contract are Workforce Australia Online, Workforce Australia Employment Service Provider, Transition to Work and Parent Pathways.</w:t>
      </w:r>
    </w:p>
    <w:p w14:paraId="1C87C168">
      <w:pPr>
        <w:pStyle w:val="3"/>
      </w:pPr>
      <w:r>
        <w:rPr>
          <w:color w:val="0066CC"/>
        </w:rPr>
        <w:t>5.1 Workforce Australia Online</w:t>
      </w:r>
    </w:p>
    <w:p w14:paraId="10588AB2">
      <w:pPr>
        <w:spacing w:before="0" w:after="120"/>
      </w:pPr>
      <w:r>
        <w:rPr>
          <w:b w:val="0"/>
          <w:i w:val="0"/>
          <w:sz w:val="21"/>
        </w:rPr>
        <w:t>If a person is receiving income support and has been assessed as job ready, or able to manage their obligations and job search through the online platform, they may be referred to Workforce Australia Online. They register online and use their online account to track their progress, report tasks, activities and any earnings, and record jobs for which they have applied.</w:t>
      </w:r>
    </w:p>
    <w:p w14:paraId="41E82669">
      <w:pPr>
        <w:spacing w:before="0" w:after="120"/>
      </w:pPr>
      <w:r>
        <w:rPr>
          <w:b w:val="0"/>
          <w:i w:val="0"/>
          <w:sz w:val="21"/>
        </w:rPr>
        <w:t>Workforce Australia Online participants are also supported by the Digital Services Contact Centre, which can help participants get the most out of the online platform, access education, training and other support, and request support to cover the cost of certain work items or to relocate for a new job.</w:t>
      </w:r>
    </w:p>
    <w:p w14:paraId="418762CC">
      <w:pPr>
        <w:pStyle w:val="3"/>
      </w:pPr>
      <w:r>
        <w:rPr>
          <w:color w:val="0066CC"/>
        </w:rPr>
        <w:t>5.2 Transfer</w:t>
      </w:r>
    </w:p>
    <w:p w14:paraId="7C64EA1D">
      <w:pPr>
        <w:spacing w:before="0" w:after="120"/>
      </w:pPr>
      <w:r>
        <w:rPr>
          <w:b w:val="0"/>
          <w:i w:val="0"/>
          <w:sz w:val="21"/>
        </w:rPr>
        <w:t>The maximum time to remain in Workforce Australia Online is 12 months. An online participant will be transferred to a Workforce Australia Employment Service Provider once they reach this milestone, unless they are in paid work or studying and have provided evidence of this to Services Australia. Participants may be able to remain in Workforce Australia Online for up to 18 months if they are earning an income (working 60 hours or more in the reporting period) or in study or training with a study declaration in place.</w:t>
      </w:r>
    </w:p>
    <w:p w14:paraId="229B1DCC">
      <w:pPr>
        <w:spacing w:before="0" w:after="120"/>
      </w:pPr>
      <w:r>
        <w:rPr>
          <w:b w:val="0"/>
          <w:i w:val="0"/>
          <w:sz w:val="21"/>
        </w:rPr>
        <w:t>If a participant does not want to self-manage their obligations, or has been identified as having higher barriers to seeking employment (for example, language barriers, skills and experience, or mental health) through the Jobseeker Snapshot or a Multicultural Service Officer, they can switch to a Workforce Australia Employment Service Provider at any time. To select to transfer, contact the National Customer Service and Transfer Line on 1800 805 260.</w:t>
      </w:r>
    </w:p>
    <w:p w14:paraId="3865AA78">
      <w:pPr>
        <w:pStyle w:val="3"/>
      </w:pPr>
      <w:r>
        <w:rPr>
          <w:color w:val="0066CC"/>
        </w:rPr>
        <w:t>5.3 Workforce Australia Employment Service Providers</w:t>
      </w:r>
    </w:p>
    <w:p w14:paraId="46EA70FF">
      <w:pPr>
        <w:spacing w:before="0" w:after="120"/>
      </w:pPr>
      <w:r>
        <w:rPr>
          <w:b w:val="0"/>
          <w:i w:val="0"/>
          <w:sz w:val="21"/>
        </w:rPr>
        <w:t>Workforce Australia Employment Service Providers receive referrals for new participants directly from Services Australia, which refers a customer to the closest provider geographically to the participant's home location. A customer can also request to be referred to a preferred provider. Participants must be in receipt of an income support payment, and meet eligibility criteria, to be referred to a provider.</w:t>
      </w:r>
    </w:p>
    <w:p w14:paraId="6210FCE2">
      <w:pPr>
        <w:spacing w:before="0" w:after="120"/>
      </w:pPr>
      <w:r>
        <w:rPr>
          <w:b w:val="0"/>
          <w:i w:val="0"/>
          <w:sz w:val="21"/>
        </w:rPr>
        <w:t>The provider contacts the participant directly upon receiving the referral to welcome the participant and book an initial appointment at a suitable time, within 10 days of the Services Australia referral. The provider will ascertain if an interpreter is required and arrange one for the appointment. Participants must attend the scheduled initial appointment face to face for commencement of registration with the provider.</w:t>
      </w:r>
    </w:p>
    <w:p w14:paraId="4141C75C">
      <w:pPr>
        <w:pStyle w:val="3"/>
      </w:pPr>
      <w:r>
        <w:rPr>
          <w:color w:val="0066CC"/>
        </w:rPr>
        <w:t>5.4 Initial Appointments</w:t>
      </w:r>
    </w:p>
    <w:p w14:paraId="55C3E635">
      <w:pPr>
        <w:spacing w:before="0" w:after="120"/>
      </w:pPr>
      <w:r>
        <w:rPr>
          <w:b w:val="0"/>
          <w:i w:val="0"/>
          <w:sz w:val="21"/>
        </w:rPr>
        <w:t>The initial appointment conducted by the provider will:</w:t>
      </w:r>
    </w:p>
    <w:p w14:paraId="5E65D33F">
      <w:pPr>
        <w:pStyle w:val="23"/>
        <w:spacing w:before="0" w:after="40"/>
      </w:pPr>
      <w:r>
        <w:rPr>
          <w:b w:val="0"/>
          <w:i w:val="0"/>
          <w:sz w:val="21"/>
        </w:rPr>
        <w:t>Conduct an initial identity check (via ID documentation).</w:t>
      </w:r>
    </w:p>
    <w:p w14:paraId="7FD9BC37">
      <w:pPr>
        <w:pStyle w:val="23"/>
        <w:spacing w:before="0" w:after="40"/>
      </w:pPr>
      <w:r>
        <w:rPr>
          <w:b w:val="0"/>
          <w:i w:val="0"/>
          <w:sz w:val="21"/>
        </w:rPr>
        <w:t>Explain the privacy document and obtain the participant's signature.</w:t>
      </w:r>
    </w:p>
    <w:p w14:paraId="08CC2BF8">
      <w:pPr>
        <w:pStyle w:val="23"/>
        <w:spacing w:before="0" w:after="40"/>
      </w:pPr>
      <w:r>
        <w:rPr>
          <w:b w:val="0"/>
          <w:i w:val="0"/>
          <w:sz w:val="21"/>
        </w:rPr>
        <w:t>Confirm myGov set up and linkage to Workforce Australia.</w:t>
      </w:r>
    </w:p>
    <w:p w14:paraId="148331AE">
      <w:pPr>
        <w:pStyle w:val="23"/>
        <w:spacing w:before="0" w:after="40"/>
      </w:pPr>
      <w:r>
        <w:rPr>
          <w:b w:val="0"/>
          <w:i w:val="0"/>
          <w:sz w:val="21"/>
        </w:rPr>
        <w:t>Confirm the participant has downloaded the Workforce Australia app.</w:t>
      </w:r>
    </w:p>
    <w:p w14:paraId="6F4CA6AA">
      <w:pPr>
        <w:pStyle w:val="23"/>
        <w:spacing w:before="0" w:after="40"/>
      </w:pPr>
      <w:r>
        <w:rPr>
          <w:b w:val="0"/>
          <w:i w:val="0"/>
          <w:sz w:val="21"/>
        </w:rPr>
        <w:t>Complete the Jobseeker Classification Instrument (JSCI) Snapshot.</w:t>
      </w:r>
    </w:p>
    <w:p w14:paraId="1A750F3A">
      <w:pPr>
        <w:pStyle w:val="23"/>
        <w:spacing w:before="0" w:after="40"/>
      </w:pPr>
      <w:r>
        <w:rPr>
          <w:b w:val="0"/>
          <w:i w:val="0"/>
          <w:sz w:val="21"/>
        </w:rPr>
        <w:t>Complete the Capability Management Tool (CMT) to list barriers.</w:t>
      </w:r>
    </w:p>
    <w:p w14:paraId="1EBDEB99">
      <w:pPr>
        <w:pStyle w:val="23"/>
        <w:spacing w:before="0" w:after="40"/>
      </w:pPr>
      <w:r>
        <w:rPr>
          <w:b w:val="0"/>
          <w:i w:val="0"/>
          <w:sz w:val="21"/>
        </w:rPr>
        <w:t>Complete a Job Plan (removing obligation PA03 if the participant has barriers with technology).</w:t>
      </w:r>
    </w:p>
    <w:p w14:paraId="328E6844">
      <w:pPr>
        <w:pStyle w:val="23"/>
        <w:spacing w:before="0" w:after="40"/>
      </w:pPr>
      <w:r>
        <w:rPr>
          <w:b w:val="0"/>
          <w:i w:val="0"/>
          <w:sz w:val="21"/>
        </w:rPr>
        <w:t>Approve and sign the Job Plan digitally.</w:t>
      </w:r>
    </w:p>
    <w:p w14:paraId="1A869020">
      <w:pPr>
        <w:pStyle w:val="23"/>
        <w:spacing w:before="0" w:after="40"/>
      </w:pPr>
      <w:r>
        <w:rPr>
          <w:b w:val="0"/>
          <w:i w:val="0"/>
          <w:sz w:val="21"/>
        </w:rPr>
        <w:t>Complete a career profile with the participant.</w:t>
      </w:r>
    </w:p>
    <w:p w14:paraId="25A2DE3D">
      <w:pPr>
        <w:pStyle w:val="23"/>
        <w:spacing w:before="0" w:after="40"/>
      </w:pPr>
      <w:r>
        <w:rPr>
          <w:b w:val="0"/>
          <w:i w:val="0"/>
          <w:sz w:val="21"/>
        </w:rPr>
        <w:t>Explain mutual obligation requirements and the Points Based Activation System (PBAS), ensuring requirements are suitable based on participant assessment.</w:t>
      </w:r>
    </w:p>
    <w:p w14:paraId="34998344">
      <w:pPr>
        <w:pStyle w:val="23"/>
        <w:spacing w:before="0" w:after="40"/>
      </w:pPr>
      <w:r>
        <w:rPr>
          <w:b w:val="0"/>
          <w:i w:val="0"/>
          <w:sz w:val="21"/>
        </w:rPr>
        <w:t>Discuss/obtain a resume.</w:t>
      </w:r>
    </w:p>
    <w:p w14:paraId="2EC34B7C">
      <w:pPr>
        <w:pStyle w:val="23"/>
        <w:spacing w:before="0" w:after="40"/>
      </w:pPr>
      <w:r>
        <w:rPr>
          <w:b w:val="0"/>
          <w:i w:val="0"/>
          <w:sz w:val="21"/>
        </w:rPr>
        <w:t>Complete the initial file note in the provider CRM.</w:t>
      </w:r>
    </w:p>
    <w:p w14:paraId="73022B1B">
      <w:pPr>
        <w:pStyle w:val="23"/>
        <w:spacing w:before="0" w:after="40"/>
      </w:pPr>
      <w:r>
        <w:rPr>
          <w:b w:val="0"/>
          <w:i w:val="0"/>
          <w:sz w:val="21"/>
        </w:rPr>
        <w:t>Book future appointments.</w:t>
      </w:r>
    </w:p>
    <w:p w14:paraId="12F3E5A5">
      <w:pPr>
        <w:pStyle w:val="23"/>
        <w:spacing w:before="0" w:after="40"/>
      </w:pPr>
      <w:r>
        <w:rPr>
          <w:b w:val="0"/>
          <w:i w:val="0"/>
          <w:sz w:val="21"/>
        </w:rPr>
        <w:t>Result the appointment in the Workforce Australia Online database.</w:t>
      </w:r>
    </w:p>
    <w:p w14:paraId="63D52580">
      <w:pPr>
        <w:spacing w:before="0" w:after="120"/>
      </w:pPr>
      <w:r>
        <w:rPr>
          <w:b w:val="0"/>
          <w:i w:val="0"/>
          <w:sz w:val="21"/>
        </w:rPr>
        <w:t>All documents, including the signed privacy form and job plan, can be provided to the participant as a hard copy if requested.</w:t>
      </w:r>
    </w:p>
    <w:p w14:paraId="7FE3B100">
      <w:pPr>
        <w:pStyle w:val="3"/>
      </w:pPr>
      <w:r>
        <w:rPr>
          <w:color w:val="0066CC"/>
        </w:rPr>
        <w:t>5.5 Consecutive Appointments</w:t>
      </w:r>
    </w:p>
    <w:p w14:paraId="33944C76">
      <w:pPr>
        <w:spacing w:before="0" w:after="120"/>
      </w:pPr>
      <w:r>
        <w:rPr>
          <w:b w:val="0"/>
          <w:i w:val="0"/>
          <w:sz w:val="21"/>
        </w:rPr>
        <w:t>Consecutive appointments can be conducted face to face, by phone or virtually. The participant's assigned consultant discusses the employment pathway and progress at each appointment. Appointments must be conducted at a minimum of once per month while the participant is actively registered with the provider.</w:t>
      </w:r>
    </w:p>
    <w:p w14:paraId="1126616C">
      <w:pPr>
        <w:spacing w:before="0" w:after="120"/>
      </w:pPr>
      <w:r>
        <w:rPr>
          <w:b w:val="0"/>
          <w:i w:val="0"/>
          <w:sz w:val="21"/>
        </w:rPr>
        <w:t>The provider will discuss the participant's progress towards employment and provide suitable approved assistance to eligible participants. This may include, but is not limited to:</w:t>
      </w:r>
    </w:p>
    <w:p w14:paraId="5B56C837">
      <w:pPr>
        <w:pStyle w:val="23"/>
        <w:spacing w:before="0" w:after="40"/>
      </w:pPr>
      <w:r>
        <w:rPr>
          <w:b w:val="0"/>
          <w:i w:val="0"/>
          <w:sz w:val="21"/>
        </w:rPr>
        <w:t>Emergency short-term accommodation.</w:t>
      </w:r>
    </w:p>
    <w:p w14:paraId="1F41A226">
      <w:pPr>
        <w:pStyle w:val="23"/>
        <w:spacing w:before="0" w:after="40"/>
      </w:pPr>
      <w:r>
        <w:rPr>
          <w:b w:val="0"/>
          <w:i w:val="0"/>
          <w:sz w:val="21"/>
        </w:rPr>
        <w:t>Immediate food assistance, including referral to the closest Foodbank option.</w:t>
      </w:r>
    </w:p>
    <w:p w14:paraId="00688FDA">
      <w:pPr>
        <w:pStyle w:val="23"/>
        <w:spacing w:before="0" w:after="40"/>
      </w:pPr>
      <w:r>
        <w:rPr>
          <w:b w:val="0"/>
          <w:i w:val="0"/>
          <w:sz w:val="21"/>
        </w:rPr>
        <w:t>Public transport assistance (for example, TransLink go card top-up).</w:t>
      </w:r>
    </w:p>
    <w:p w14:paraId="60011942">
      <w:pPr>
        <w:pStyle w:val="23"/>
        <w:spacing w:before="0" w:after="40"/>
      </w:pPr>
      <w:r>
        <w:rPr>
          <w:b w:val="0"/>
          <w:i w:val="0"/>
          <w:sz w:val="21"/>
        </w:rPr>
        <w:t>Phone and data top-up, and mobile phone purchase to support job search.</w:t>
      </w:r>
    </w:p>
    <w:p w14:paraId="139776FD">
      <w:pPr>
        <w:pStyle w:val="23"/>
        <w:spacing w:before="0" w:after="40"/>
      </w:pPr>
      <w:r>
        <w:rPr>
          <w:b w:val="0"/>
          <w:i w:val="0"/>
          <w:sz w:val="21"/>
        </w:rPr>
        <w:t>Technology support, for example a laptop to aid study.</w:t>
      </w:r>
    </w:p>
    <w:p w14:paraId="0204A258">
      <w:pPr>
        <w:pStyle w:val="23"/>
        <w:spacing w:before="0" w:after="40"/>
      </w:pPr>
      <w:r>
        <w:rPr>
          <w:b w:val="0"/>
          <w:i w:val="0"/>
          <w:sz w:val="21"/>
        </w:rPr>
        <w:t>Protective clothing and job-specific clothing.</w:t>
      </w:r>
    </w:p>
    <w:p w14:paraId="3CBEA055">
      <w:pPr>
        <w:pStyle w:val="23"/>
        <w:spacing w:before="0" w:after="40"/>
      </w:pPr>
      <w:r>
        <w:rPr>
          <w:b w:val="0"/>
          <w:i w:val="0"/>
          <w:sz w:val="21"/>
        </w:rPr>
        <w:t>Job readiness and resilience soft skills training and programs.</w:t>
      </w:r>
    </w:p>
    <w:p w14:paraId="429783C4">
      <w:pPr>
        <w:pStyle w:val="23"/>
        <w:spacing w:before="0" w:after="40"/>
      </w:pPr>
      <w:r>
        <w:rPr>
          <w:b w:val="0"/>
          <w:i w:val="0"/>
          <w:sz w:val="21"/>
        </w:rPr>
        <w:t>Transport assistance to get to and from activities and employment.</w:t>
      </w:r>
    </w:p>
    <w:p w14:paraId="455BA218">
      <w:pPr>
        <w:pStyle w:val="23"/>
        <w:spacing w:before="0" w:after="40"/>
      </w:pPr>
      <w:r>
        <w:rPr>
          <w:b w:val="0"/>
          <w:i w:val="0"/>
          <w:sz w:val="21"/>
        </w:rPr>
        <w:t>Post-placement support following commencement of employment (continued for the first 6 months of employment).</w:t>
      </w:r>
    </w:p>
    <w:p w14:paraId="0F8BC640">
      <w:pPr>
        <w:pStyle w:val="23"/>
        <w:spacing w:before="0" w:after="40"/>
      </w:pPr>
      <w:r>
        <w:rPr>
          <w:b w:val="0"/>
          <w:i w:val="0"/>
          <w:sz w:val="21"/>
        </w:rPr>
        <w:t>Professional services, including individual or group counselling.</w:t>
      </w:r>
    </w:p>
    <w:p w14:paraId="70EFE10F">
      <w:pPr>
        <w:pStyle w:val="23"/>
        <w:spacing w:before="0" w:after="40"/>
      </w:pPr>
      <w:r>
        <w:rPr>
          <w:b w:val="0"/>
          <w:i w:val="0"/>
          <w:sz w:val="21"/>
        </w:rPr>
        <w:t>Specific assistance programs based on cohort type, for example ex-offender, women, youth and CALD cohorts.</w:t>
      </w:r>
    </w:p>
    <w:p w14:paraId="540A9151">
      <w:pPr>
        <w:pStyle w:val="23"/>
        <w:spacing w:before="0" w:after="40"/>
      </w:pPr>
      <w:r>
        <w:rPr>
          <w:b w:val="0"/>
          <w:i w:val="0"/>
          <w:sz w:val="21"/>
        </w:rPr>
        <w:t>Referral to English courses — SEE or AMEP.</w:t>
      </w:r>
    </w:p>
    <w:p w14:paraId="1E44266D">
      <w:pPr>
        <w:pStyle w:val="23"/>
        <w:spacing w:before="0" w:after="40"/>
      </w:pPr>
      <w:r>
        <w:rPr>
          <w:b w:val="0"/>
          <w:i w:val="0"/>
          <w:sz w:val="21"/>
        </w:rPr>
        <w:t>Payment for accredited training courses and/or workplace tickets (for example, White Card).</w:t>
      </w:r>
    </w:p>
    <w:p w14:paraId="396E6FB4">
      <w:pPr>
        <w:pStyle w:val="23"/>
        <w:spacing w:before="0" w:after="40"/>
      </w:pPr>
      <w:r>
        <w:rPr>
          <w:b w:val="0"/>
          <w:i w:val="0"/>
          <w:sz w:val="21"/>
        </w:rPr>
        <w:t>Resume and interview technique training and coaching.</w:t>
      </w:r>
    </w:p>
    <w:p w14:paraId="347B56A2">
      <w:pPr>
        <w:pStyle w:val="23"/>
        <w:spacing w:before="0" w:after="40"/>
      </w:pPr>
      <w:r>
        <w:rPr>
          <w:b w:val="0"/>
          <w:i w:val="0"/>
          <w:sz w:val="21"/>
        </w:rPr>
        <w:t>Digital literacy training.</w:t>
      </w:r>
    </w:p>
    <w:p w14:paraId="6F4AACEC">
      <w:pPr>
        <w:pStyle w:val="23"/>
        <w:spacing w:before="0" w:after="40"/>
      </w:pPr>
      <w:r>
        <w:rPr>
          <w:b w:val="0"/>
          <w:i w:val="0"/>
          <w:sz w:val="21"/>
        </w:rPr>
        <w:t>Career counselling and employment pathway programs.</w:t>
      </w:r>
    </w:p>
    <w:p w14:paraId="6472F7DA">
      <w:pPr>
        <w:pStyle w:val="23"/>
        <w:spacing w:before="0" w:after="40"/>
      </w:pPr>
      <w:r>
        <w:rPr>
          <w:b w:val="0"/>
          <w:i w:val="0"/>
          <w:sz w:val="21"/>
        </w:rPr>
        <w:t>Workshops or programs that assist with improving mental health and wellbeing.</w:t>
      </w:r>
    </w:p>
    <w:p w14:paraId="6A0D52E7">
      <w:pPr>
        <w:pStyle w:val="3"/>
      </w:pPr>
      <w:r>
        <w:rPr>
          <w:color w:val="0066CC"/>
        </w:rPr>
        <w:t>5.6 Participant Progress</w:t>
      </w:r>
    </w:p>
    <w:p w14:paraId="6600ED98">
      <w:pPr>
        <w:spacing w:before="0" w:after="120"/>
      </w:pPr>
      <w:r>
        <w:rPr>
          <w:b w:val="0"/>
          <w:i w:val="0"/>
          <w:sz w:val="21"/>
        </w:rPr>
        <w:t>A participant's progress is measured regarding changes to barriers to employment, obtaining qualifications or completion of learning or study, or other vocational pathways, or as completion of non-vocational activities. The provider updates the participant's progress at each appointment and makes notes in the participant's online file.</w:t>
      </w:r>
    </w:p>
    <w:p w14:paraId="5553E4A1">
      <w:pPr>
        <w:pStyle w:val="3"/>
      </w:pPr>
      <w:r>
        <w:rPr>
          <w:color w:val="0066CC"/>
        </w:rPr>
        <w:t>5.7 Mutual Obligation Requirements</w:t>
      </w:r>
    </w:p>
    <w:p w14:paraId="5ACE0775">
      <w:pPr>
        <w:spacing w:before="0" w:after="120"/>
      </w:pPr>
      <w:r>
        <w:rPr>
          <w:b w:val="0"/>
          <w:i w:val="0"/>
          <w:sz w:val="21"/>
        </w:rPr>
        <w:t>Mutual obligation requirements are the tasks and/or activities a participant agrees to do in return for their income support payment. Participants will have mutual obligation requirements if receiving certain income support payments, including JobSeeker Payment, Youth Allowance (job seekers), Parenting Payment after the youngest child turns six, and Special Benefit paid under certain conditions.</w:t>
      </w:r>
    </w:p>
    <w:p w14:paraId="4502E0C5">
      <w:pPr>
        <w:spacing w:before="0" w:after="120"/>
      </w:pPr>
      <w:r>
        <w:rPr>
          <w:b w:val="0"/>
          <w:i w:val="0"/>
          <w:sz w:val="21"/>
        </w:rPr>
        <w:t>Mutual obligation requirements apply to both participants with Workforce Australia Online and participants with providers. Participants agree to their obligations when they agree to their Job Plan. Penalties may apply if they do not meet them. Services Australia may temporarily suspend obligations in certain circumstances.</w:t>
      </w:r>
    </w:p>
    <w:p w14:paraId="2A6F993D">
      <w:pPr>
        <w:pStyle w:val="3"/>
      </w:pPr>
      <w:r>
        <w:rPr>
          <w:color w:val="0066CC"/>
        </w:rPr>
        <w:t>5.8 Better Targeting of Assistance for Participants with Employment Barriers</w:t>
      </w:r>
    </w:p>
    <w:p w14:paraId="4D4FE9B0">
      <w:pPr>
        <w:spacing w:before="0" w:after="120"/>
      </w:pPr>
      <w:r>
        <w:rPr>
          <w:b w:val="0"/>
          <w:i w:val="0"/>
          <w:sz w:val="21"/>
        </w:rPr>
        <w:t>The Department of Employment and Workplace Relations has been conducting research with employment service participants who have identified barriers to employment, and outcomes from this research inform continual improvement in the delivery of services under Workforce Australia.</w:t>
      </w:r>
    </w:p>
    <w:p w14:paraId="17CDCED4">
      <w:pPr>
        <w:pStyle w:val="4"/>
      </w:pPr>
      <w:r>
        <w:rPr>
          <w:color w:val="006B4F"/>
        </w:rPr>
        <w:t>Principal Carer Parents (PCP), clients with a partial Capacity to Work (PCW), and clients who are 55 years and over</w:t>
      </w:r>
    </w:p>
    <w:p w14:paraId="6C8F1A57">
      <w:pPr>
        <w:spacing w:before="0" w:after="120"/>
      </w:pPr>
      <w:r>
        <w:rPr>
          <w:b w:val="0"/>
          <w:i w:val="0"/>
          <w:sz w:val="21"/>
        </w:rPr>
        <w:t>Participants in these cohorts who are fully meeting their obligations through approved activities (paid work, approved study, volunteering, or a combination) expected to continue for at least 13 weeks will be exited from employment services, unless they choose to remain connected to their provider as a voluntary participant. These clients are supported by Services Australia and continue to meet their mutual obligations through a Services Australia Job Plan.</w:t>
      </w:r>
    </w:p>
    <w:p w14:paraId="1C30A5E5">
      <w:pPr>
        <w:pStyle w:val="4"/>
      </w:pPr>
      <w:r>
        <w:rPr>
          <w:color w:val="006B4F"/>
        </w:rPr>
        <w:t>Newly Arrived Refugees</w:t>
      </w:r>
    </w:p>
    <w:p w14:paraId="1AC345AC">
      <w:pPr>
        <w:spacing w:before="0" w:after="120"/>
      </w:pPr>
      <w:r>
        <w:rPr>
          <w:b w:val="0"/>
          <w:i w:val="0"/>
          <w:sz w:val="21"/>
        </w:rPr>
        <w:t>Under the Better Targeting of Support for Refugees measure, newly arrived refugees receiving activity tested income support are not required to participate in Workforce Australia Services in their first 12 months in Australia, but they can volunteer if they wish. Newly arrived refugees can choose to participate in employment services with a provider at any time, including during the 'Refugee first 13 weeks in Australia' exemption period. Participants in Workforce Australia Online cannot commence in that service until after the 13 weeks exemption.</w:t>
      </w:r>
    </w:p>
    <w:p w14:paraId="18CC4721">
      <w:pPr>
        <w:spacing w:before="0" w:after="120"/>
      </w:pPr>
      <w:r>
        <w:rPr>
          <w:b w:val="0"/>
          <w:i w:val="0"/>
          <w:sz w:val="21"/>
        </w:rPr>
        <w:t>At the initial appointment, Workforce Australia Services providers can identify a newly arrived refugee if they are currently assisted by a Humanitarian Settlement Program provider. In addition, they should have a 'Refugee first 13 weeks in Australia' exemption, a Services Australia Job Plan and a Refugee Activity coded on the referral history screen. The same arrangements apply to people who are Nominated Visa holders in their first 13 weeks.</w:t>
      </w:r>
    </w:p>
    <w:p w14:paraId="7D33AA46">
      <w:pPr>
        <w:pStyle w:val="3"/>
      </w:pPr>
      <w:r>
        <w:rPr>
          <w:color w:val="0066CC"/>
        </w:rPr>
        <w:t>5.9 Points Based Activation System (PBAS)</w:t>
      </w:r>
    </w:p>
    <w:p w14:paraId="26750C81">
      <w:pPr>
        <w:spacing w:before="0" w:after="120"/>
      </w:pPr>
      <w:r>
        <w:rPr>
          <w:b w:val="0"/>
          <w:i w:val="0"/>
          <w:sz w:val="21"/>
        </w:rPr>
        <w:t>For individuals getting income support with mutual obligation requirements, Workforce Australia includes a Points Based Activation System (PBAS). PBAS gives participants more choice and flexibility in how they meet their obligations each monthly reporting period. A full list of PBAS activity values and examples of activities can be found at How to earn points (workforceaustralia.gov.au).</w:t>
      </w:r>
    </w:p>
    <w:p w14:paraId="7D34CFA8">
      <w:pPr>
        <w:spacing w:before="0" w:after="120"/>
      </w:pPr>
      <w:r>
        <w:rPr>
          <w:b w:val="0"/>
          <w:i w:val="0"/>
          <w:sz w:val="21"/>
        </w:rPr>
        <w:t>The PBAS does not apply to participants in Transition to Work, Parent Pathways, Disability Employment Services or the Community Development Program.</w:t>
      </w:r>
    </w:p>
    <w:p w14:paraId="38CAF188">
      <w:pPr>
        <w:pStyle w:val="3"/>
      </w:pPr>
      <w:r>
        <w:rPr>
          <w:color w:val="0066CC"/>
        </w:rPr>
        <w:t>5.10 Transition to Work (TtW)</w:t>
      </w:r>
    </w:p>
    <w:p w14:paraId="0B547125">
      <w:pPr>
        <w:spacing w:before="0" w:after="120"/>
      </w:pPr>
      <w:r>
        <w:rPr>
          <w:b w:val="0"/>
          <w:i w:val="0"/>
          <w:sz w:val="21"/>
        </w:rPr>
        <w:t>Transition to Work (TtW) helps young people aged 15–24 into work (including apprenticeships and training) or education. Transition to Work participants receive intensive, pre-employment support to develop practical skills to get a job, connect with education or training, find local job opportunities, and connect with relevant local community services.</w:t>
      </w:r>
    </w:p>
    <w:p w14:paraId="31A55374">
      <w:pPr>
        <w:pStyle w:val="4"/>
      </w:pPr>
      <w:r>
        <w:rPr>
          <w:color w:val="006B4F"/>
        </w:rPr>
        <w:t>Eligibility</w:t>
      </w:r>
    </w:p>
    <w:p w14:paraId="0CAD2E6D">
      <w:pPr>
        <w:spacing w:before="0" w:after="120"/>
      </w:pPr>
      <w:r>
        <w:rPr>
          <w:b w:val="0"/>
          <w:i w:val="0"/>
          <w:sz w:val="21"/>
        </w:rPr>
        <w:t>Participants must be between 15 and 24 years old and be an Australian citizen or an appropriate visa holder. Eligibility also depends on individual circumstances, including whether they have a Year 12 certificate or equivalent (such as a Certificate III), have been employed within the last six months, are receiving an income support payment such as Youth Allowance, or are participating in another employment service including Workforce Australia.</w:t>
      </w:r>
    </w:p>
    <w:p w14:paraId="7A710778">
      <w:pPr>
        <w:pStyle w:val="4"/>
      </w:pPr>
      <w:r>
        <w:rPr>
          <w:color w:val="006B4F"/>
        </w:rPr>
        <w:t>Services and Assistance</w:t>
      </w:r>
    </w:p>
    <w:p w14:paraId="517371AF">
      <w:pPr>
        <w:spacing w:before="0" w:after="120"/>
      </w:pPr>
      <w:r>
        <w:rPr>
          <w:b w:val="0"/>
          <w:i w:val="0"/>
          <w:sz w:val="21"/>
        </w:rPr>
        <w:t>Transition to Work providers help build participants' skills and confidence to continue their education or get ready to start a new job. This may include capability development and adult life skills, career guidance, access to job-specific training, work experience and internships, job search and interview preparation and support, networking with local employers, support to stay in a job, and connections to local support services such as housing or mental health support.</w:t>
      </w:r>
    </w:p>
    <w:p w14:paraId="0667AA61">
      <w:pPr>
        <w:spacing w:before="0" w:after="120"/>
      </w:pPr>
      <w:r>
        <w:rPr>
          <w:b w:val="0"/>
          <w:i w:val="0"/>
          <w:sz w:val="21"/>
        </w:rPr>
        <w:t>Providers may negotiate Youth Bonus wage subsidies of up to $10,000 (GST inclusive) if an employer offers ongoing employment to Transition to Work job seekers, and provide post-placement support to make sure a new employee settles into their job.</w:t>
      </w:r>
    </w:p>
    <w:p w14:paraId="02B78405">
      <w:pPr>
        <w:pStyle w:val="3"/>
      </w:pPr>
      <w:r>
        <w:rPr>
          <w:color w:val="0066CC"/>
        </w:rPr>
        <w:t>5.11 Parent Pathways</w:t>
      </w:r>
    </w:p>
    <w:p w14:paraId="0E697796">
      <w:pPr>
        <w:spacing w:before="0" w:after="120"/>
      </w:pPr>
      <w:r>
        <w:rPr>
          <w:b w:val="0"/>
          <w:i w:val="0"/>
          <w:sz w:val="21"/>
        </w:rPr>
        <w:t>Parent Pathways is a voluntary service that provides personalised and financial support to eligible parents and carers of young children. With the help of a qualified mentor, parents and carers can receive flexible support to assist with personal, study or work goals.</w:t>
      </w:r>
    </w:p>
    <w:p w14:paraId="33EF6C4A">
      <w:pPr>
        <w:pStyle w:val="4"/>
      </w:pPr>
      <w:r>
        <w:rPr>
          <w:color w:val="006B4F"/>
        </w:rPr>
        <w:t>Eligibility</w:t>
      </w:r>
    </w:p>
    <w:p w14:paraId="33A8ACBA">
      <w:pPr>
        <w:spacing w:before="0" w:after="120"/>
      </w:pPr>
      <w:r>
        <w:rPr>
          <w:b w:val="0"/>
          <w:i w:val="0"/>
          <w:sz w:val="21"/>
        </w:rPr>
        <w:t>Parent Pathways is for parents and carers who have a child aged under 6, are not in paid employment, and live in a non-remote area, and who are receiving Parenting Payment, Carer Payment or Special Benefit. Eligibility also includes those not getting a Centrelink payment who are under 22 years old, an early school leaver (no Year 12 qualification), or a First Nations parent or carer.</w:t>
      </w:r>
    </w:p>
    <w:p w14:paraId="3F322439">
      <w:pPr>
        <w:pStyle w:val="4"/>
      </w:pPr>
      <w:r>
        <w:rPr>
          <w:color w:val="006B4F"/>
        </w:rPr>
        <w:t>Services and Assistance</w:t>
      </w:r>
    </w:p>
    <w:p w14:paraId="1C4220B1">
      <w:pPr>
        <w:spacing w:before="0" w:after="120"/>
      </w:pPr>
      <w:r>
        <w:rPr>
          <w:b w:val="0"/>
          <w:i w:val="0"/>
          <w:sz w:val="21"/>
        </w:rPr>
        <w:t>Support options include language or literacy programs, support to find childcare, financial support (for example, for training courses or a computer), referrals to financial and family/domestic violence support services, training such as a short TAFE course, and career guidance. Service features include voluntary participation, flexible service delivery that values the caring role, support by qualified and experienced mentors, an Individual Fund assigned to the parent, and a Pooled Fund for pre-employment supports administered by providers in consultation with parents.</w:t>
      </w:r>
    </w:p>
    <w:p w14:paraId="02919B87">
      <w:pPr>
        <w:pStyle w:val="3"/>
      </w:pPr>
      <w:r>
        <w:rPr>
          <w:color w:val="0066CC"/>
        </w:rPr>
        <w:t>5.12 Dual Servicing</w:t>
      </w:r>
    </w:p>
    <w:p w14:paraId="3E6E1C1D">
      <w:pPr>
        <w:spacing w:before="0" w:after="120"/>
      </w:pPr>
      <w:r>
        <w:rPr>
          <w:b w:val="0"/>
          <w:i w:val="0"/>
          <w:sz w:val="21"/>
        </w:rPr>
        <w:t>Participants can be serviced by other assistive services (for example, SETS) at the same time as receiving services from a Workforce Australia provider. Providers should ask participants at each appointment whether they have been receiving assistance from another service so they can collaborate (for example, with SETS or AMEP). Participants cannot receive dual servicing from separate Workforce Australia employment service providers, including Online Services, Transition to Work, Parent Pathways, or IEA services.</w:t>
      </w:r>
    </w:p>
    <w:p w14:paraId="03DA9861">
      <w:pPr>
        <w:pStyle w:val="3"/>
      </w:pPr>
      <w:r>
        <w:rPr>
          <w:color w:val="0066CC"/>
        </w:rPr>
        <w:t>5.13 Workforce Australia Local Provider List</w:t>
      </w:r>
    </w:p>
    <w:p w14:paraId="349C08FC">
      <w:pPr>
        <w:spacing w:before="0" w:after="120"/>
      </w:pPr>
      <w:r>
        <w:rPr>
          <w:b w:val="0"/>
          <w:i w:val="0"/>
          <w:sz w:val="21"/>
        </w:rPr>
        <w:t>To find a local provider delivering the services and support needed, use the 'Find a provider' search on the Workforce Australia website (workforceaustralia.gov.au).</w:t>
      </w:r>
    </w:p>
    <w:p w14:paraId="040B1267">
      <w:pPr>
        <w:pStyle w:val="3"/>
      </w:pPr>
      <w:r>
        <w:rPr>
          <w:color w:val="0066CC"/>
        </w:rPr>
        <w:t>5.14 Workforce Australia Service Providers in the Brisbane South East Region</w:t>
      </w:r>
    </w:p>
    <w:p w14:paraId="43670961">
      <w:pPr>
        <w:spacing w:before="0" w:after="120"/>
      </w:pPr>
      <w:r>
        <w:rPr>
          <w:b w:val="0"/>
          <w:i w:val="0"/>
          <w:sz w:val="21"/>
        </w:rPr>
        <w:t>The following Workforce Australia Employment Service Providers were identified in the Brisbane South East environmental scan. Provider contracts and locations change over time — confirm the current provider for the participant's postcode via the Workforce Australia 'Find a provider' search before referral.</w:t>
      </w:r>
    </w:p>
    <w:p w14:paraId="724F9426">
      <w:pPr>
        <w:pStyle w:val="4"/>
      </w:pPr>
      <w:r>
        <w:rPr>
          <w:color w:val="002B49"/>
        </w:rPr>
        <w:t>WES.jobs (WorkPac Employment Services) — Workforce Australia</w:t>
      </w:r>
    </w:p>
    <w:tbl>
      <w:tblPr>
        <w:tblStyle w:val="3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30" w:type="dxa"/>
          <w:left w:w="80" w:type="dxa"/>
          <w:bottom w:w="30" w:type="dxa"/>
          <w:right w:w="80" w:type="dxa"/>
        </w:tblCellMar>
      </w:tblPr>
      <w:tblGrid>
        <w:gridCol w:w="4819"/>
        <w:gridCol w:w="4819"/>
      </w:tblGrid>
      <w:tr w14:paraId="540A1B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30" w:type="dxa"/>
            <w:left w:w="80" w:type="dxa"/>
            <w:bottom w:w="30" w:type="dxa"/>
            <w:right w:w="80" w:type="dxa"/>
          </w:tblCellMar>
        </w:tblPrEx>
        <w:tc>
          <w:tcPr>
            <w:tcW w:w="2494" w:type="dxa"/>
            <w:shd w:val="clear" w:color="auto" w:fill="E8F4FD"/>
          </w:tcPr>
          <w:p w14:paraId="105A4F63">
            <w:pPr>
              <w:spacing w:before="20" w:after="20" w:line="240" w:lineRule="auto"/>
            </w:pPr>
            <w:r>
              <w:rPr>
                <w:b/>
                <w:color w:val="002B49"/>
                <w:sz w:val="19"/>
              </w:rPr>
              <w:t>Organisation</w:t>
            </w:r>
          </w:p>
        </w:tc>
        <w:tc>
          <w:tcPr>
            <w:tcW w:w="7143" w:type="dxa"/>
          </w:tcPr>
          <w:p w14:paraId="4979D60D">
            <w:pPr>
              <w:spacing w:before="20" w:after="20" w:line="240" w:lineRule="auto"/>
            </w:pPr>
            <w:r>
              <w:rPr>
                <w:sz w:val="19"/>
              </w:rPr>
              <w:t>WES.jobs / WorkPac Employment Services</w:t>
            </w:r>
          </w:p>
        </w:tc>
      </w:tr>
      <w:tr w14:paraId="72E12F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30" w:type="dxa"/>
            <w:left w:w="80" w:type="dxa"/>
            <w:bottom w:w="30" w:type="dxa"/>
            <w:right w:w="80" w:type="dxa"/>
          </w:tblCellMar>
        </w:tblPrEx>
        <w:tc>
          <w:tcPr>
            <w:tcW w:w="2494" w:type="dxa"/>
            <w:shd w:val="clear" w:color="auto" w:fill="E8F4FD"/>
          </w:tcPr>
          <w:p w14:paraId="2385AF2D">
            <w:pPr>
              <w:spacing w:before="20" w:after="20" w:line="240" w:lineRule="auto"/>
            </w:pPr>
            <w:r>
              <w:rPr>
                <w:b/>
                <w:color w:val="002B49"/>
                <w:sz w:val="19"/>
              </w:rPr>
              <w:t>Program / Service</w:t>
            </w:r>
          </w:p>
        </w:tc>
        <w:tc>
          <w:tcPr>
            <w:tcW w:w="7143" w:type="dxa"/>
          </w:tcPr>
          <w:p w14:paraId="33FFCE06">
            <w:pPr>
              <w:spacing w:before="20" w:after="20" w:line="240" w:lineRule="auto"/>
            </w:pPr>
            <w:r>
              <w:rPr>
                <w:sz w:val="19"/>
              </w:rPr>
              <w:t>Workforce Australia Employment Services</w:t>
            </w:r>
          </w:p>
        </w:tc>
      </w:tr>
      <w:tr w14:paraId="03D5A5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30" w:type="dxa"/>
            <w:left w:w="80" w:type="dxa"/>
            <w:bottom w:w="30" w:type="dxa"/>
            <w:right w:w="80" w:type="dxa"/>
          </w:tblCellMar>
        </w:tblPrEx>
        <w:tc>
          <w:tcPr>
            <w:tcW w:w="2494" w:type="dxa"/>
            <w:shd w:val="clear" w:color="auto" w:fill="E8F4FD"/>
          </w:tcPr>
          <w:p w14:paraId="12585F7B">
            <w:pPr>
              <w:spacing w:before="20" w:after="20" w:line="240" w:lineRule="auto"/>
            </w:pPr>
            <w:r>
              <w:rPr>
                <w:b/>
                <w:color w:val="002B49"/>
                <w:sz w:val="19"/>
              </w:rPr>
              <w:t>Service Description</w:t>
            </w:r>
          </w:p>
        </w:tc>
        <w:tc>
          <w:tcPr>
            <w:tcW w:w="7143" w:type="dxa"/>
          </w:tcPr>
          <w:p w14:paraId="68A8A36B">
            <w:pPr>
              <w:spacing w:before="20" w:after="20" w:line="240" w:lineRule="auto"/>
            </w:pPr>
            <w:r>
              <w:rPr>
                <w:sz w:val="19"/>
              </w:rPr>
              <w:t>Tailored employment services linking job seekers and employers; job search support, employment consultant support, job planning, resume support, training and skills development, employer connections, work-readiness support and employment-related funding/support.</w:t>
            </w:r>
          </w:p>
        </w:tc>
      </w:tr>
      <w:tr w14:paraId="1EBFE6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30" w:type="dxa"/>
            <w:left w:w="80" w:type="dxa"/>
            <w:bottom w:w="30" w:type="dxa"/>
            <w:right w:w="80" w:type="dxa"/>
          </w:tblCellMar>
        </w:tblPrEx>
        <w:tc>
          <w:tcPr>
            <w:tcW w:w="2494" w:type="dxa"/>
            <w:shd w:val="clear" w:color="auto" w:fill="E8F4FD"/>
          </w:tcPr>
          <w:p w14:paraId="0A08E05E">
            <w:pPr>
              <w:spacing w:before="20" w:after="20" w:line="240" w:lineRule="auto"/>
            </w:pPr>
            <w:r>
              <w:rPr>
                <w:b/>
                <w:color w:val="002B49"/>
                <w:sz w:val="19"/>
              </w:rPr>
              <w:t>Who They Support</w:t>
            </w:r>
          </w:p>
        </w:tc>
        <w:tc>
          <w:tcPr>
            <w:tcW w:w="7143" w:type="dxa"/>
          </w:tcPr>
          <w:p w14:paraId="33E56AD7">
            <w:pPr>
              <w:spacing w:before="20" w:after="20" w:line="240" w:lineRule="auto"/>
            </w:pPr>
            <w:r>
              <w:rPr>
                <w:sz w:val="19"/>
              </w:rPr>
              <w:t>Job seekers registered with Workforce Australia</w:t>
            </w:r>
          </w:p>
        </w:tc>
      </w:tr>
      <w:tr w14:paraId="36B8B9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30" w:type="dxa"/>
            <w:left w:w="80" w:type="dxa"/>
            <w:bottom w:w="30" w:type="dxa"/>
            <w:right w:w="80" w:type="dxa"/>
          </w:tblCellMar>
        </w:tblPrEx>
        <w:tc>
          <w:tcPr>
            <w:tcW w:w="2494" w:type="dxa"/>
            <w:shd w:val="clear" w:color="auto" w:fill="E8F4FD"/>
          </w:tcPr>
          <w:p w14:paraId="5F0AE51E">
            <w:pPr>
              <w:spacing w:before="20" w:after="20" w:line="240" w:lineRule="auto"/>
            </w:pPr>
            <w:r>
              <w:rPr>
                <w:b/>
                <w:color w:val="002B49"/>
                <w:sz w:val="19"/>
              </w:rPr>
              <w:t>Location / Coverage</w:t>
            </w:r>
          </w:p>
        </w:tc>
        <w:tc>
          <w:tcPr>
            <w:tcW w:w="7143" w:type="dxa"/>
          </w:tcPr>
          <w:p w14:paraId="7F3948EC">
            <w:pPr>
              <w:spacing w:before="20" w:after="20" w:line="240" w:lineRule="auto"/>
            </w:pPr>
            <w:r>
              <w:rPr>
                <w:sz w:val="19"/>
              </w:rPr>
              <w:t>Beaudesert, Browns Plains, Cleveland, Mount Gravatt, Tingalpa and Woodridge (scan-recorded office locations)</w:t>
            </w:r>
          </w:p>
        </w:tc>
      </w:tr>
      <w:tr w14:paraId="35C8DC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30" w:type="dxa"/>
            <w:left w:w="80" w:type="dxa"/>
            <w:bottom w:w="30" w:type="dxa"/>
            <w:right w:w="80" w:type="dxa"/>
          </w:tblCellMar>
        </w:tblPrEx>
        <w:tc>
          <w:tcPr>
            <w:tcW w:w="2494" w:type="dxa"/>
            <w:shd w:val="clear" w:color="auto" w:fill="E8F4FD"/>
          </w:tcPr>
          <w:p w14:paraId="5D8AC2A8">
            <w:pPr>
              <w:spacing w:before="20" w:after="20" w:line="240" w:lineRule="auto"/>
            </w:pPr>
            <w:r>
              <w:rPr>
                <w:b/>
                <w:color w:val="002B49"/>
                <w:sz w:val="19"/>
              </w:rPr>
              <w:t>Address</w:t>
            </w:r>
          </w:p>
        </w:tc>
        <w:tc>
          <w:tcPr>
            <w:tcW w:w="7143" w:type="dxa"/>
          </w:tcPr>
          <w:p w14:paraId="4D31905D">
            <w:pPr>
              <w:spacing w:before="20" w:after="20" w:line="240" w:lineRule="auto"/>
            </w:pPr>
            <w:r>
              <w:rPr>
                <w:sz w:val="19"/>
              </w:rPr>
              <w:t>100 Brisbane Street, Beaudesert QLD 4285</w:t>
            </w:r>
          </w:p>
        </w:tc>
      </w:tr>
      <w:tr w14:paraId="366FE5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30" w:type="dxa"/>
            <w:left w:w="80" w:type="dxa"/>
            <w:bottom w:w="30" w:type="dxa"/>
            <w:right w:w="80" w:type="dxa"/>
          </w:tblCellMar>
        </w:tblPrEx>
        <w:tc>
          <w:tcPr>
            <w:tcW w:w="2494" w:type="dxa"/>
            <w:shd w:val="clear" w:color="auto" w:fill="E8F4FD"/>
          </w:tcPr>
          <w:p w14:paraId="035E99D1">
            <w:pPr>
              <w:spacing w:before="20" w:after="20" w:line="240" w:lineRule="auto"/>
            </w:pPr>
            <w:r>
              <w:rPr>
                <w:b/>
                <w:color w:val="002B49"/>
                <w:sz w:val="19"/>
              </w:rPr>
              <w:t>Phone</w:t>
            </w:r>
          </w:p>
        </w:tc>
        <w:tc>
          <w:tcPr>
            <w:tcW w:w="7143" w:type="dxa"/>
          </w:tcPr>
          <w:p w14:paraId="71EEF949">
            <w:pPr>
              <w:spacing w:before="20" w:after="20" w:line="240" w:lineRule="auto"/>
            </w:pPr>
            <w:r>
              <w:rPr>
                <w:sz w:val="19"/>
              </w:rPr>
              <w:t>1800 111 937</w:t>
            </w:r>
          </w:p>
        </w:tc>
      </w:tr>
      <w:tr w14:paraId="2E3C9C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30" w:type="dxa"/>
            <w:left w:w="80" w:type="dxa"/>
            <w:bottom w:w="30" w:type="dxa"/>
            <w:right w:w="80" w:type="dxa"/>
          </w:tblCellMar>
        </w:tblPrEx>
        <w:tc>
          <w:tcPr>
            <w:tcW w:w="2494" w:type="dxa"/>
            <w:shd w:val="clear" w:color="auto" w:fill="E8F4FD"/>
          </w:tcPr>
          <w:p w14:paraId="697E7C00">
            <w:pPr>
              <w:spacing w:before="20" w:after="20" w:line="240" w:lineRule="auto"/>
            </w:pPr>
            <w:r>
              <w:rPr>
                <w:b/>
                <w:color w:val="002B49"/>
                <w:sz w:val="19"/>
              </w:rPr>
              <w:t>Email</w:t>
            </w:r>
          </w:p>
        </w:tc>
        <w:tc>
          <w:tcPr>
            <w:tcW w:w="7143" w:type="dxa"/>
          </w:tcPr>
          <w:p w14:paraId="2EA12B75">
            <w:pPr>
              <w:spacing w:before="20" w:after="20" w:line="240" w:lineRule="auto"/>
            </w:pPr>
            <w:r>
              <w:rPr>
                <w:sz w:val="19"/>
              </w:rPr>
              <w:t>mountgravatt@wes.jobs</w:t>
            </w:r>
          </w:p>
        </w:tc>
      </w:tr>
      <w:tr w14:paraId="633712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30" w:type="dxa"/>
            <w:left w:w="80" w:type="dxa"/>
            <w:bottom w:w="30" w:type="dxa"/>
            <w:right w:w="80" w:type="dxa"/>
          </w:tblCellMar>
        </w:tblPrEx>
        <w:tc>
          <w:tcPr>
            <w:tcW w:w="2494" w:type="dxa"/>
            <w:shd w:val="clear" w:color="auto" w:fill="E8F4FD"/>
          </w:tcPr>
          <w:p w14:paraId="46AB3E3A">
            <w:pPr>
              <w:spacing w:before="20" w:after="20" w:line="240" w:lineRule="auto"/>
            </w:pPr>
            <w:r>
              <w:rPr>
                <w:b/>
                <w:color w:val="002B49"/>
                <w:sz w:val="19"/>
              </w:rPr>
              <w:t>Website</w:t>
            </w:r>
          </w:p>
        </w:tc>
        <w:tc>
          <w:tcPr>
            <w:tcW w:w="7143" w:type="dxa"/>
          </w:tcPr>
          <w:p w14:paraId="7DEE54C9">
            <w:pPr>
              <w:spacing w:before="20" w:after="20" w:line="240" w:lineRule="auto"/>
            </w:pPr>
            <w:r>
              <w:fldChar w:fldCharType="begin"/>
            </w:r>
            <w:r>
              <w:instrText xml:space="preserve"> HYPERLINK "https://wes.jobs" \h </w:instrText>
            </w:r>
            <w:r>
              <w:fldChar w:fldCharType="separate"/>
            </w:r>
            <w:r>
              <w:rPr>
                <w:rFonts w:ascii="Calibri" w:hAnsi="Calibri"/>
                <w:color w:val="0066CC"/>
                <w:sz w:val="19"/>
                <w:u w:val="single"/>
              </w:rPr>
              <w:t>https://wes.jobs</w:t>
            </w:r>
            <w:r>
              <w:rPr>
                <w:rFonts w:ascii="Calibri" w:hAnsi="Calibri"/>
                <w:color w:val="0066CC"/>
                <w:sz w:val="19"/>
                <w:u w:val="single"/>
              </w:rPr>
              <w:fldChar w:fldCharType="end"/>
            </w:r>
          </w:p>
        </w:tc>
      </w:tr>
      <w:tr w14:paraId="59518B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30" w:type="dxa"/>
            <w:left w:w="80" w:type="dxa"/>
            <w:bottom w:w="30" w:type="dxa"/>
            <w:right w:w="80" w:type="dxa"/>
          </w:tblCellMar>
        </w:tblPrEx>
        <w:tc>
          <w:tcPr>
            <w:tcW w:w="2494" w:type="dxa"/>
            <w:shd w:val="clear" w:color="auto" w:fill="E8F4FD"/>
          </w:tcPr>
          <w:p w14:paraId="18C75FE9">
            <w:pPr>
              <w:spacing w:before="20" w:after="20" w:line="240" w:lineRule="auto"/>
            </w:pPr>
            <w:r>
              <w:rPr>
                <w:b/>
                <w:color w:val="002B49"/>
                <w:sz w:val="19"/>
              </w:rPr>
              <w:t>Verification Status</w:t>
            </w:r>
          </w:p>
        </w:tc>
        <w:tc>
          <w:tcPr>
            <w:tcW w:w="7143" w:type="dxa"/>
          </w:tcPr>
          <w:p w14:paraId="55B93AD4">
            <w:pPr>
              <w:spacing w:before="20" w:after="20" w:line="240" w:lineRule="auto"/>
            </w:pPr>
            <w:r>
              <w:rPr>
                <w:sz w:val="19"/>
              </w:rPr>
              <w:t>REQUIRES VERIFICATION — environmental scan record drawn from official provider pages; confirm current contract status and office locations.</w:t>
            </w:r>
          </w:p>
        </w:tc>
      </w:tr>
    </w:tbl>
    <w:p w14:paraId="7CAD356E">
      <w:pPr>
        <w:pStyle w:val="4"/>
      </w:pPr>
      <w:r>
        <w:rPr>
          <w:color w:val="002B49"/>
        </w:rPr>
        <w:t>Workways Australia — Workforce Australia</w:t>
      </w:r>
    </w:p>
    <w:tbl>
      <w:tblPr>
        <w:tblStyle w:val="3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30" w:type="dxa"/>
          <w:left w:w="80" w:type="dxa"/>
          <w:bottom w:w="30" w:type="dxa"/>
          <w:right w:w="80" w:type="dxa"/>
        </w:tblCellMar>
      </w:tblPr>
      <w:tblGrid>
        <w:gridCol w:w="4819"/>
        <w:gridCol w:w="4819"/>
      </w:tblGrid>
      <w:tr w14:paraId="414670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30" w:type="dxa"/>
            <w:left w:w="80" w:type="dxa"/>
            <w:bottom w:w="30" w:type="dxa"/>
            <w:right w:w="80" w:type="dxa"/>
          </w:tblCellMar>
        </w:tblPrEx>
        <w:tc>
          <w:tcPr>
            <w:tcW w:w="2494" w:type="dxa"/>
            <w:shd w:val="clear" w:color="auto" w:fill="E8F4FD"/>
          </w:tcPr>
          <w:p w14:paraId="495195B1">
            <w:pPr>
              <w:spacing w:before="20" w:after="20" w:line="240" w:lineRule="auto"/>
            </w:pPr>
            <w:r>
              <w:rPr>
                <w:b/>
                <w:color w:val="002B49"/>
                <w:sz w:val="19"/>
              </w:rPr>
              <w:t>Organisation</w:t>
            </w:r>
          </w:p>
        </w:tc>
        <w:tc>
          <w:tcPr>
            <w:tcW w:w="7143" w:type="dxa"/>
          </w:tcPr>
          <w:p w14:paraId="1651BCE0">
            <w:pPr>
              <w:spacing w:before="20" w:after="20" w:line="240" w:lineRule="auto"/>
            </w:pPr>
            <w:r>
              <w:rPr>
                <w:sz w:val="19"/>
              </w:rPr>
              <w:t>Workways Australia</w:t>
            </w:r>
          </w:p>
        </w:tc>
      </w:tr>
      <w:tr w14:paraId="305466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30" w:type="dxa"/>
            <w:left w:w="80" w:type="dxa"/>
            <w:bottom w:w="30" w:type="dxa"/>
            <w:right w:w="80" w:type="dxa"/>
          </w:tblCellMar>
        </w:tblPrEx>
        <w:tc>
          <w:tcPr>
            <w:tcW w:w="2494" w:type="dxa"/>
            <w:shd w:val="clear" w:color="auto" w:fill="E8F4FD"/>
          </w:tcPr>
          <w:p w14:paraId="77A98814">
            <w:pPr>
              <w:spacing w:before="20" w:after="20" w:line="240" w:lineRule="auto"/>
            </w:pPr>
            <w:r>
              <w:rPr>
                <w:b/>
                <w:color w:val="002B49"/>
                <w:sz w:val="19"/>
              </w:rPr>
              <w:t>Program / Service</w:t>
            </w:r>
          </w:p>
        </w:tc>
        <w:tc>
          <w:tcPr>
            <w:tcW w:w="7143" w:type="dxa"/>
          </w:tcPr>
          <w:p w14:paraId="5A8A0610">
            <w:pPr>
              <w:spacing w:before="20" w:after="20" w:line="240" w:lineRule="auto"/>
            </w:pPr>
            <w:r>
              <w:rPr>
                <w:sz w:val="19"/>
              </w:rPr>
              <w:t>Workforce Australia Employment Services</w:t>
            </w:r>
          </w:p>
        </w:tc>
      </w:tr>
      <w:tr w14:paraId="620B66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30" w:type="dxa"/>
            <w:left w:w="80" w:type="dxa"/>
            <w:bottom w:w="30" w:type="dxa"/>
            <w:right w:w="80" w:type="dxa"/>
          </w:tblCellMar>
        </w:tblPrEx>
        <w:tc>
          <w:tcPr>
            <w:tcW w:w="2494" w:type="dxa"/>
            <w:shd w:val="clear" w:color="auto" w:fill="E8F4FD"/>
          </w:tcPr>
          <w:p w14:paraId="09436486">
            <w:pPr>
              <w:spacing w:before="20" w:after="20" w:line="240" w:lineRule="auto"/>
            </w:pPr>
            <w:r>
              <w:rPr>
                <w:b/>
                <w:color w:val="002B49"/>
                <w:sz w:val="19"/>
              </w:rPr>
              <w:t>Service Description</w:t>
            </w:r>
          </w:p>
        </w:tc>
        <w:tc>
          <w:tcPr>
            <w:tcW w:w="7143" w:type="dxa"/>
          </w:tcPr>
          <w:p w14:paraId="45EB9888">
            <w:pPr>
              <w:spacing w:before="20" w:after="20" w:line="240" w:lineRule="auto"/>
            </w:pPr>
            <w:r>
              <w:rPr>
                <w:sz w:val="19"/>
              </w:rPr>
              <w:t>Individualised employment support to job seekers wanting to find and keep a job; participants are often referred by Services Australia.</w:t>
            </w:r>
          </w:p>
        </w:tc>
      </w:tr>
      <w:tr w14:paraId="14CA66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30" w:type="dxa"/>
            <w:left w:w="80" w:type="dxa"/>
            <w:bottom w:w="30" w:type="dxa"/>
            <w:right w:w="80" w:type="dxa"/>
          </w:tblCellMar>
        </w:tblPrEx>
        <w:tc>
          <w:tcPr>
            <w:tcW w:w="2494" w:type="dxa"/>
            <w:shd w:val="clear" w:color="auto" w:fill="E8F4FD"/>
          </w:tcPr>
          <w:p w14:paraId="704771BC">
            <w:pPr>
              <w:spacing w:before="20" w:after="20" w:line="240" w:lineRule="auto"/>
            </w:pPr>
            <w:r>
              <w:rPr>
                <w:b/>
                <w:color w:val="002B49"/>
                <w:sz w:val="19"/>
              </w:rPr>
              <w:t>Who They Support</w:t>
            </w:r>
          </w:p>
        </w:tc>
        <w:tc>
          <w:tcPr>
            <w:tcW w:w="7143" w:type="dxa"/>
          </w:tcPr>
          <w:p w14:paraId="0E1761F9">
            <w:pPr>
              <w:spacing w:before="20" w:after="20" w:line="240" w:lineRule="auto"/>
            </w:pPr>
            <w:r>
              <w:rPr>
                <w:sz w:val="19"/>
              </w:rPr>
              <w:t>Job seekers receiving income support with mutual obligation requirements; volunteers with the right to work in Australia who are not working or studying full-time</w:t>
            </w:r>
          </w:p>
        </w:tc>
      </w:tr>
      <w:tr w14:paraId="66B575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30" w:type="dxa"/>
            <w:left w:w="80" w:type="dxa"/>
            <w:bottom w:w="30" w:type="dxa"/>
            <w:right w:w="80" w:type="dxa"/>
          </w:tblCellMar>
        </w:tblPrEx>
        <w:tc>
          <w:tcPr>
            <w:tcW w:w="2494" w:type="dxa"/>
            <w:shd w:val="clear" w:color="auto" w:fill="E8F4FD"/>
          </w:tcPr>
          <w:p w14:paraId="5CA70271">
            <w:pPr>
              <w:spacing w:before="20" w:after="20" w:line="240" w:lineRule="auto"/>
            </w:pPr>
            <w:r>
              <w:rPr>
                <w:b/>
                <w:color w:val="002B49"/>
                <w:sz w:val="19"/>
              </w:rPr>
              <w:t>Location / Coverage</w:t>
            </w:r>
          </w:p>
        </w:tc>
        <w:tc>
          <w:tcPr>
            <w:tcW w:w="7143" w:type="dxa"/>
          </w:tcPr>
          <w:p w14:paraId="4EFDEC59">
            <w:pPr>
              <w:spacing w:before="20" w:after="20" w:line="240" w:lineRule="auto"/>
            </w:pPr>
            <w:r>
              <w:rPr>
                <w:sz w:val="19"/>
              </w:rPr>
              <w:t>Mount Gravatt (Level 3, Unit 2/57 Sanders Street, Upper Mount Gravatt QLD 4122); Stones Corner (2/449 Logan Road, Greenslopes QLD); Woodridge (Shop 3/91 Wembley Road, Logan Central QLD)</w:t>
            </w:r>
          </w:p>
        </w:tc>
      </w:tr>
      <w:tr w14:paraId="0DA548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30" w:type="dxa"/>
            <w:left w:w="80" w:type="dxa"/>
            <w:bottom w:w="30" w:type="dxa"/>
            <w:right w:w="80" w:type="dxa"/>
          </w:tblCellMar>
        </w:tblPrEx>
        <w:tc>
          <w:tcPr>
            <w:tcW w:w="2494" w:type="dxa"/>
            <w:shd w:val="clear" w:color="auto" w:fill="E8F4FD"/>
          </w:tcPr>
          <w:p w14:paraId="58FEEBD6">
            <w:pPr>
              <w:spacing w:before="20" w:after="20" w:line="240" w:lineRule="auto"/>
            </w:pPr>
            <w:r>
              <w:rPr>
                <w:b/>
                <w:color w:val="002B49"/>
                <w:sz w:val="19"/>
              </w:rPr>
              <w:t>Phone</w:t>
            </w:r>
          </w:p>
        </w:tc>
        <w:tc>
          <w:tcPr>
            <w:tcW w:w="7143" w:type="dxa"/>
          </w:tcPr>
          <w:p w14:paraId="17BE6398">
            <w:pPr>
              <w:spacing w:before="20" w:after="20" w:line="240" w:lineRule="auto"/>
            </w:pPr>
            <w:r>
              <w:rPr>
                <w:sz w:val="19"/>
              </w:rPr>
              <w:t>1800 631 196</w:t>
            </w:r>
          </w:p>
        </w:tc>
      </w:tr>
      <w:tr w14:paraId="102A80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30" w:type="dxa"/>
            <w:left w:w="80" w:type="dxa"/>
            <w:bottom w:w="30" w:type="dxa"/>
            <w:right w:w="80" w:type="dxa"/>
          </w:tblCellMar>
        </w:tblPrEx>
        <w:tc>
          <w:tcPr>
            <w:tcW w:w="2494" w:type="dxa"/>
            <w:shd w:val="clear" w:color="auto" w:fill="E8F4FD"/>
          </w:tcPr>
          <w:p w14:paraId="3A1A5FCC">
            <w:pPr>
              <w:spacing w:before="20" w:after="20" w:line="240" w:lineRule="auto"/>
            </w:pPr>
            <w:r>
              <w:rPr>
                <w:b/>
                <w:color w:val="002B49"/>
                <w:sz w:val="19"/>
              </w:rPr>
              <w:t>Website</w:t>
            </w:r>
          </w:p>
        </w:tc>
        <w:tc>
          <w:tcPr>
            <w:tcW w:w="7143" w:type="dxa"/>
          </w:tcPr>
          <w:p w14:paraId="065678FD">
            <w:pPr>
              <w:spacing w:before="20" w:after="20" w:line="240" w:lineRule="auto"/>
            </w:pPr>
            <w:r>
              <w:fldChar w:fldCharType="begin"/>
            </w:r>
            <w:r>
              <w:instrText xml:space="preserve"> HYPERLINK "https://www.workways.com.au" \h </w:instrText>
            </w:r>
            <w:r>
              <w:fldChar w:fldCharType="separate"/>
            </w:r>
            <w:r>
              <w:rPr>
                <w:rFonts w:ascii="Calibri" w:hAnsi="Calibri"/>
                <w:color w:val="0066CC"/>
                <w:sz w:val="19"/>
                <w:u w:val="single"/>
              </w:rPr>
              <w:t>https://www.workways.com.au</w:t>
            </w:r>
            <w:r>
              <w:rPr>
                <w:rFonts w:ascii="Calibri" w:hAnsi="Calibri"/>
                <w:color w:val="0066CC"/>
                <w:sz w:val="19"/>
                <w:u w:val="single"/>
              </w:rPr>
              <w:fldChar w:fldCharType="end"/>
            </w:r>
          </w:p>
        </w:tc>
      </w:tr>
      <w:tr w14:paraId="7AE737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30" w:type="dxa"/>
            <w:left w:w="80" w:type="dxa"/>
            <w:bottom w:w="30" w:type="dxa"/>
            <w:right w:w="80" w:type="dxa"/>
          </w:tblCellMar>
        </w:tblPrEx>
        <w:tc>
          <w:tcPr>
            <w:tcW w:w="2494" w:type="dxa"/>
            <w:shd w:val="clear" w:color="auto" w:fill="E8F4FD"/>
          </w:tcPr>
          <w:p w14:paraId="27D9772B">
            <w:pPr>
              <w:spacing w:before="20" w:after="20" w:line="240" w:lineRule="auto"/>
            </w:pPr>
            <w:r>
              <w:rPr>
                <w:b/>
                <w:color w:val="002B49"/>
                <w:sz w:val="19"/>
              </w:rPr>
              <w:t>Verification Status</w:t>
            </w:r>
          </w:p>
        </w:tc>
        <w:tc>
          <w:tcPr>
            <w:tcW w:w="7143" w:type="dxa"/>
          </w:tcPr>
          <w:p w14:paraId="65F6BE9C">
            <w:pPr>
              <w:spacing w:before="20" w:after="20" w:line="240" w:lineRule="auto"/>
            </w:pPr>
            <w:r>
              <w:rPr>
                <w:sz w:val="19"/>
              </w:rPr>
              <w:t>REQUIRES VERIFICATION — environmental scan record from official office locations page.</w:t>
            </w:r>
          </w:p>
        </w:tc>
      </w:tr>
    </w:tbl>
    <w:p w14:paraId="0E5E69A2">
      <w:pPr>
        <w:pStyle w:val="4"/>
      </w:pPr>
      <w:r>
        <w:rPr>
          <w:color w:val="002B49"/>
        </w:rPr>
        <w:t>CoAct Connect + BUSY At Work Upper Mount Gravatt — Workforce Australia</w:t>
      </w:r>
    </w:p>
    <w:tbl>
      <w:tblPr>
        <w:tblStyle w:val="3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30" w:type="dxa"/>
          <w:left w:w="80" w:type="dxa"/>
          <w:bottom w:w="30" w:type="dxa"/>
          <w:right w:w="80" w:type="dxa"/>
        </w:tblCellMar>
      </w:tblPr>
      <w:tblGrid>
        <w:gridCol w:w="4819"/>
        <w:gridCol w:w="4819"/>
      </w:tblGrid>
      <w:tr w14:paraId="1DDD1B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30" w:type="dxa"/>
            <w:left w:w="80" w:type="dxa"/>
            <w:bottom w:w="30" w:type="dxa"/>
            <w:right w:w="80" w:type="dxa"/>
          </w:tblCellMar>
        </w:tblPrEx>
        <w:tc>
          <w:tcPr>
            <w:tcW w:w="2494" w:type="dxa"/>
            <w:shd w:val="clear" w:color="auto" w:fill="E8F4FD"/>
          </w:tcPr>
          <w:p w14:paraId="7ADD31FF">
            <w:pPr>
              <w:spacing w:before="20" w:after="20" w:line="240" w:lineRule="auto"/>
            </w:pPr>
            <w:r>
              <w:rPr>
                <w:b/>
                <w:color w:val="002B49"/>
                <w:sz w:val="19"/>
              </w:rPr>
              <w:t>Organisation</w:t>
            </w:r>
          </w:p>
        </w:tc>
        <w:tc>
          <w:tcPr>
            <w:tcW w:w="7143" w:type="dxa"/>
          </w:tcPr>
          <w:p w14:paraId="078ACC9E">
            <w:pPr>
              <w:spacing w:before="20" w:after="20" w:line="240" w:lineRule="auto"/>
            </w:pPr>
            <w:r>
              <w:rPr>
                <w:sz w:val="19"/>
              </w:rPr>
              <w:t>CoAct Connect + BUSY At Work</w:t>
            </w:r>
          </w:p>
        </w:tc>
      </w:tr>
      <w:tr w14:paraId="6C74C6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30" w:type="dxa"/>
            <w:left w:w="80" w:type="dxa"/>
            <w:bottom w:w="30" w:type="dxa"/>
            <w:right w:w="80" w:type="dxa"/>
          </w:tblCellMar>
        </w:tblPrEx>
        <w:tc>
          <w:tcPr>
            <w:tcW w:w="2494" w:type="dxa"/>
            <w:shd w:val="clear" w:color="auto" w:fill="E8F4FD"/>
          </w:tcPr>
          <w:p w14:paraId="0BE1CC01">
            <w:pPr>
              <w:spacing w:before="20" w:after="20" w:line="240" w:lineRule="auto"/>
            </w:pPr>
            <w:r>
              <w:rPr>
                <w:b/>
                <w:color w:val="002B49"/>
                <w:sz w:val="19"/>
              </w:rPr>
              <w:t>Program / Service</w:t>
            </w:r>
          </w:p>
        </w:tc>
        <w:tc>
          <w:tcPr>
            <w:tcW w:w="7143" w:type="dxa"/>
          </w:tcPr>
          <w:p w14:paraId="546C857B">
            <w:pPr>
              <w:spacing w:before="20" w:after="20" w:line="240" w:lineRule="auto"/>
            </w:pPr>
            <w:r>
              <w:rPr>
                <w:sz w:val="19"/>
              </w:rPr>
              <w:t>Workforce Australia Employment Services</w:t>
            </w:r>
          </w:p>
        </w:tc>
      </w:tr>
      <w:tr w14:paraId="7E9228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30" w:type="dxa"/>
            <w:left w:w="80" w:type="dxa"/>
            <w:bottom w:w="30" w:type="dxa"/>
            <w:right w:w="80" w:type="dxa"/>
          </w:tblCellMar>
        </w:tblPrEx>
        <w:tc>
          <w:tcPr>
            <w:tcW w:w="2494" w:type="dxa"/>
            <w:shd w:val="clear" w:color="auto" w:fill="E8F4FD"/>
          </w:tcPr>
          <w:p w14:paraId="351C1473">
            <w:pPr>
              <w:spacing w:before="20" w:after="20" w:line="240" w:lineRule="auto"/>
            </w:pPr>
            <w:r>
              <w:rPr>
                <w:b/>
                <w:color w:val="002B49"/>
                <w:sz w:val="19"/>
              </w:rPr>
              <w:t>Service Description</w:t>
            </w:r>
          </w:p>
        </w:tc>
        <w:tc>
          <w:tcPr>
            <w:tcW w:w="7143" w:type="dxa"/>
          </w:tcPr>
          <w:p w14:paraId="4A7449DE">
            <w:pPr>
              <w:spacing w:before="20" w:after="20" w:line="240" w:lineRule="auto"/>
            </w:pPr>
            <w:r>
              <w:rPr>
                <w:sz w:val="19"/>
              </w:rPr>
              <w:t>Helps people find a job they enjoy, with connections to employers, work experience, training opportunities and specialist support across Brisbane South East and neighbouring areas.</w:t>
            </w:r>
          </w:p>
        </w:tc>
      </w:tr>
      <w:tr w14:paraId="18B5FE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30" w:type="dxa"/>
            <w:left w:w="80" w:type="dxa"/>
            <w:bottom w:w="30" w:type="dxa"/>
            <w:right w:w="80" w:type="dxa"/>
          </w:tblCellMar>
        </w:tblPrEx>
        <w:tc>
          <w:tcPr>
            <w:tcW w:w="2494" w:type="dxa"/>
            <w:shd w:val="clear" w:color="auto" w:fill="E8F4FD"/>
          </w:tcPr>
          <w:p w14:paraId="576119E3">
            <w:pPr>
              <w:spacing w:before="20" w:after="20" w:line="240" w:lineRule="auto"/>
            </w:pPr>
            <w:r>
              <w:rPr>
                <w:b/>
                <w:color w:val="002B49"/>
                <w:sz w:val="19"/>
              </w:rPr>
              <w:t>Address</w:t>
            </w:r>
          </w:p>
        </w:tc>
        <w:tc>
          <w:tcPr>
            <w:tcW w:w="7143" w:type="dxa"/>
          </w:tcPr>
          <w:p w14:paraId="3F1D0C44">
            <w:pPr>
              <w:spacing w:before="20" w:after="20" w:line="240" w:lineRule="auto"/>
            </w:pPr>
            <w:r>
              <w:rPr>
                <w:sz w:val="19"/>
              </w:rPr>
              <w:t>12 Mount Gravatt–Capalaba Road, Upper Mount Gravatt QLD (scan-recorded)</w:t>
            </w:r>
          </w:p>
        </w:tc>
      </w:tr>
      <w:tr w14:paraId="25E7F0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30" w:type="dxa"/>
            <w:left w:w="80" w:type="dxa"/>
            <w:bottom w:w="30" w:type="dxa"/>
            <w:right w:w="80" w:type="dxa"/>
          </w:tblCellMar>
        </w:tblPrEx>
        <w:tc>
          <w:tcPr>
            <w:tcW w:w="2494" w:type="dxa"/>
            <w:shd w:val="clear" w:color="auto" w:fill="E8F4FD"/>
          </w:tcPr>
          <w:p w14:paraId="5BA54C6E">
            <w:pPr>
              <w:spacing w:before="20" w:after="20" w:line="240" w:lineRule="auto"/>
            </w:pPr>
            <w:r>
              <w:rPr>
                <w:b/>
                <w:color w:val="002B49"/>
                <w:sz w:val="19"/>
              </w:rPr>
              <w:t>Phone</w:t>
            </w:r>
          </w:p>
        </w:tc>
        <w:tc>
          <w:tcPr>
            <w:tcW w:w="7143" w:type="dxa"/>
          </w:tcPr>
          <w:p w14:paraId="41F85548">
            <w:pPr>
              <w:spacing w:before="20" w:after="20" w:line="240" w:lineRule="auto"/>
            </w:pPr>
            <w:r>
              <w:rPr>
                <w:sz w:val="19"/>
              </w:rPr>
              <w:t>1800 161 335</w:t>
            </w:r>
          </w:p>
        </w:tc>
      </w:tr>
      <w:tr w14:paraId="37496C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30" w:type="dxa"/>
            <w:left w:w="80" w:type="dxa"/>
            <w:bottom w:w="30" w:type="dxa"/>
            <w:right w:w="80" w:type="dxa"/>
          </w:tblCellMar>
        </w:tblPrEx>
        <w:tc>
          <w:tcPr>
            <w:tcW w:w="2494" w:type="dxa"/>
            <w:shd w:val="clear" w:color="auto" w:fill="E8F4FD"/>
          </w:tcPr>
          <w:p w14:paraId="36AC67E6">
            <w:pPr>
              <w:spacing w:before="20" w:after="20" w:line="240" w:lineRule="auto"/>
            </w:pPr>
            <w:r>
              <w:rPr>
                <w:b/>
                <w:color w:val="002B49"/>
                <w:sz w:val="19"/>
              </w:rPr>
              <w:t>Email</w:t>
            </w:r>
          </w:p>
        </w:tc>
        <w:tc>
          <w:tcPr>
            <w:tcW w:w="7143" w:type="dxa"/>
          </w:tcPr>
          <w:p w14:paraId="4A6DCB4D">
            <w:pPr>
              <w:spacing w:before="20" w:after="20" w:line="240" w:lineRule="auto"/>
            </w:pPr>
            <w:r>
              <w:rPr>
                <w:sz w:val="19"/>
              </w:rPr>
              <w:t>hello@coact.org.au</w:t>
            </w:r>
          </w:p>
        </w:tc>
      </w:tr>
      <w:tr w14:paraId="26B122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30" w:type="dxa"/>
            <w:left w:w="80" w:type="dxa"/>
            <w:bottom w:w="30" w:type="dxa"/>
            <w:right w:w="80" w:type="dxa"/>
          </w:tblCellMar>
        </w:tblPrEx>
        <w:tc>
          <w:tcPr>
            <w:tcW w:w="2494" w:type="dxa"/>
            <w:shd w:val="clear" w:color="auto" w:fill="E8F4FD"/>
          </w:tcPr>
          <w:p w14:paraId="3B0CF5C6">
            <w:pPr>
              <w:spacing w:before="20" w:after="20" w:line="240" w:lineRule="auto"/>
            </w:pPr>
            <w:r>
              <w:rPr>
                <w:b/>
                <w:color w:val="002B49"/>
                <w:sz w:val="19"/>
              </w:rPr>
              <w:t>Website</w:t>
            </w:r>
          </w:p>
        </w:tc>
        <w:tc>
          <w:tcPr>
            <w:tcW w:w="7143" w:type="dxa"/>
          </w:tcPr>
          <w:p w14:paraId="5D2D6872">
            <w:pPr>
              <w:spacing w:before="20" w:after="20" w:line="240" w:lineRule="auto"/>
            </w:pPr>
            <w:r>
              <w:fldChar w:fldCharType="begin"/>
            </w:r>
            <w:r>
              <w:instrText xml:space="preserve"> HYPERLINK "https://coact.org.au" \h </w:instrText>
            </w:r>
            <w:r>
              <w:fldChar w:fldCharType="separate"/>
            </w:r>
            <w:r>
              <w:rPr>
                <w:rFonts w:ascii="Calibri" w:hAnsi="Calibri"/>
                <w:color w:val="0066CC"/>
                <w:sz w:val="19"/>
                <w:u w:val="single"/>
              </w:rPr>
              <w:t>https://coact.org.au</w:t>
            </w:r>
            <w:r>
              <w:rPr>
                <w:rFonts w:ascii="Calibri" w:hAnsi="Calibri"/>
                <w:color w:val="0066CC"/>
                <w:sz w:val="19"/>
                <w:u w:val="single"/>
              </w:rPr>
              <w:fldChar w:fldCharType="end"/>
            </w:r>
          </w:p>
        </w:tc>
      </w:tr>
      <w:tr w14:paraId="0D6192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30" w:type="dxa"/>
            <w:left w:w="80" w:type="dxa"/>
            <w:bottom w:w="30" w:type="dxa"/>
            <w:right w:w="80" w:type="dxa"/>
          </w:tblCellMar>
        </w:tblPrEx>
        <w:tc>
          <w:tcPr>
            <w:tcW w:w="2494" w:type="dxa"/>
            <w:shd w:val="clear" w:color="auto" w:fill="E8F4FD"/>
          </w:tcPr>
          <w:p w14:paraId="5C41B6CB">
            <w:pPr>
              <w:spacing w:before="20" w:after="20" w:line="240" w:lineRule="auto"/>
            </w:pPr>
            <w:r>
              <w:rPr>
                <w:b/>
                <w:color w:val="002B49"/>
                <w:sz w:val="19"/>
              </w:rPr>
              <w:t>Coverage</w:t>
            </w:r>
          </w:p>
        </w:tc>
        <w:tc>
          <w:tcPr>
            <w:tcW w:w="7143" w:type="dxa"/>
          </w:tcPr>
          <w:p w14:paraId="3490F0C3">
            <w:pPr>
              <w:spacing w:before="20" w:after="20" w:line="240" w:lineRule="auto"/>
            </w:pPr>
            <w:r>
              <w:rPr>
                <w:sz w:val="19"/>
              </w:rPr>
              <w:t>Provider page records coverage of Brisbane South East postcodes including 4025, 4078, 4102–4133, 4151–4165, 4169–4174, 4178–4179, 4183–4184, 4205, 4207, 4270, 4275, 4280, 4285 and 4287</w:t>
            </w:r>
          </w:p>
        </w:tc>
      </w:tr>
      <w:tr w14:paraId="3D0C4B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30" w:type="dxa"/>
            <w:left w:w="80" w:type="dxa"/>
            <w:bottom w:w="30" w:type="dxa"/>
            <w:right w:w="80" w:type="dxa"/>
          </w:tblCellMar>
        </w:tblPrEx>
        <w:tc>
          <w:tcPr>
            <w:tcW w:w="2494" w:type="dxa"/>
            <w:shd w:val="clear" w:color="auto" w:fill="E8F4FD"/>
          </w:tcPr>
          <w:p w14:paraId="27D29BA6">
            <w:pPr>
              <w:spacing w:before="20" w:after="20" w:line="240" w:lineRule="auto"/>
            </w:pPr>
            <w:r>
              <w:rPr>
                <w:b/>
                <w:color w:val="002B49"/>
                <w:sz w:val="19"/>
              </w:rPr>
              <w:t>Verification Status</w:t>
            </w:r>
          </w:p>
        </w:tc>
        <w:tc>
          <w:tcPr>
            <w:tcW w:w="7143" w:type="dxa"/>
          </w:tcPr>
          <w:p w14:paraId="1A51567A">
            <w:pPr>
              <w:spacing w:before="20" w:after="20" w:line="240" w:lineRule="auto"/>
            </w:pPr>
            <w:r>
              <w:rPr>
                <w:sz w:val="19"/>
              </w:rPr>
              <w:t>REQUIRES VERIFICATION — environmental scan record from the official CoAct provider page.</w:t>
            </w:r>
          </w:p>
        </w:tc>
      </w:tr>
    </w:tbl>
    <w:p w14:paraId="2A73026F">
      <w:pPr>
        <w:pStyle w:val="4"/>
      </w:pPr>
      <w:r>
        <w:rPr>
          <w:color w:val="002B49"/>
        </w:rPr>
        <w:t>APM Employment Services — Workforce Australia (CALD specialist and generalist)</w:t>
      </w:r>
    </w:p>
    <w:tbl>
      <w:tblPr>
        <w:tblStyle w:val="3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30" w:type="dxa"/>
          <w:left w:w="80" w:type="dxa"/>
          <w:bottom w:w="30" w:type="dxa"/>
          <w:right w:w="80" w:type="dxa"/>
        </w:tblCellMar>
      </w:tblPr>
      <w:tblGrid>
        <w:gridCol w:w="4819"/>
        <w:gridCol w:w="4819"/>
      </w:tblGrid>
      <w:tr w14:paraId="222389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30" w:type="dxa"/>
            <w:left w:w="80" w:type="dxa"/>
            <w:bottom w:w="30" w:type="dxa"/>
            <w:right w:w="80" w:type="dxa"/>
          </w:tblCellMar>
        </w:tblPrEx>
        <w:tc>
          <w:tcPr>
            <w:tcW w:w="2494" w:type="dxa"/>
            <w:shd w:val="clear" w:color="auto" w:fill="E8F4FD"/>
          </w:tcPr>
          <w:p w14:paraId="0D8623A8">
            <w:pPr>
              <w:spacing w:before="20" w:after="20" w:line="240" w:lineRule="auto"/>
            </w:pPr>
            <w:r>
              <w:rPr>
                <w:b/>
                <w:color w:val="002B49"/>
                <w:sz w:val="19"/>
              </w:rPr>
              <w:t>Organisation</w:t>
            </w:r>
          </w:p>
        </w:tc>
        <w:tc>
          <w:tcPr>
            <w:tcW w:w="7143" w:type="dxa"/>
          </w:tcPr>
          <w:p w14:paraId="48198255">
            <w:pPr>
              <w:spacing w:before="20" w:after="20" w:line="240" w:lineRule="auto"/>
            </w:pPr>
            <w:r>
              <w:rPr>
                <w:sz w:val="19"/>
              </w:rPr>
              <w:t>APM Employment Services</w:t>
            </w:r>
          </w:p>
        </w:tc>
      </w:tr>
      <w:tr w14:paraId="53E19A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30" w:type="dxa"/>
            <w:left w:w="80" w:type="dxa"/>
            <w:bottom w:w="30" w:type="dxa"/>
            <w:right w:w="80" w:type="dxa"/>
          </w:tblCellMar>
        </w:tblPrEx>
        <w:tc>
          <w:tcPr>
            <w:tcW w:w="2494" w:type="dxa"/>
            <w:shd w:val="clear" w:color="auto" w:fill="E8F4FD"/>
          </w:tcPr>
          <w:p w14:paraId="0EEDBACB">
            <w:pPr>
              <w:spacing w:before="20" w:after="20" w:line="240" w:lineRule="auto"/>
            </w:pPr>
            <w:r>
              <w:rPr>
                <w:b/>
                <w:color w:val="002B49"/>
                <w:sz w:val="19"/>
              </w:rPr>
              <w:t>Program / Service</w:t>
            </w:r>
          </w:p>
        </w:tc>
        <w:tc>
          <w:tcPr>
            <w:tcW w:w="7143" w:type="dxa"/>
          </w:tcPr>
          <w:p w14:paraId="5EEC023E">
            <w:pPr>
              <w:spacing w:before="20" w:after="20" w:line="240" w:lineRule="auto"/>
            </w:pPr>
            <w:r>
              <w:rPr>
                <w:sz w:val="19"/>
              </w:rPr>
              <w:t>Workforce Australia Employment Services — generalist and specialist CALD support</w:t>
            </w:r>
          </w:p>
        </w:tc>
      </w:tr>
      <w:tr w14:paraId="088265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30" w:type="dxa"/>
            <w:left w:w="80" w:type="dxa"/>
            <w:bottom w:w="30" w:type="dxa"/>
            <w:right w:w="80" w:type="dxa"/>
          </w:tblCellMar>
        </w:tblPrEx>
        <w:tc>
          <w:tcPr>
            <w:tcW w:w="2494" w:type="dxa"/>
            <w:shd w:val="clear" w:color="auto" w:fill="E8F4FD"/>
          </w:tcPr>
          <w:p w14:paraId="17A25B4D">
            <w:pPr>
              <w:spacing w:before="20" w:after="20" w:line="240" w:lineRule="auto"/>
            </w:pPr>
            <w:r>
              <w:rPr>
                <w:b/>
                <w:color w:val="002B49"/>
                <w:sz w:val="19"/>
              </w:rPr>
              <w:t>Service Description</w:t>
            </w:r>
          </w:p>
        </w:tc>
        <w:tc>
          <w:tcPr>
            <w:tcW w:w="7143" w:type="dxa"/>
          </w:tcPr>
          <w:p w14:paraId="112A2EF1">
            <w:pPr>
              <w:spacing w:before="20" w:after="20" w:line="240" w:lineRule="auto"/>
            </w:pPr>
            <w:r>
              <w:rPr>
                <w:sz w:val="19"/>
              </w:rPr>
              <w:t>Resume preparation, interview coaching, multilingual employment consultants, skills training, job placement support and workplace adjustment funding.</w:t>
            </w:r>
          </w:p>
        </w:tc>
      </w:tr>
      <w:tr w14:paraId="6E51FD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30" w:type="dxa"/>
            <w:left w:w="80" w:type="dxa"/>
            <w:bottom w:w="30" w:type="dxa"/>
            <w:right w:w="80" w:type="dxa"/>
          </w:tblCellMar>
        </w:tblPrEx>
        <w:tc>
          <w:tcPr>
            <w:tcW w:w="2494" w:type="dxa"/>
            <w:shd w:val="clear" w:color="auto" w:fill="E8F4FD"/>
          </w:tcPr>
          <w:p w14:paraId="7E62C525">
            <w:pPr>
              <w:spacing w:before="20" w:after="20" w:line="240" w:lineRule="auto"/>
            </w:pPr>
            <w:r>
              <w:rPr>
                <w:b/>
                <w:color w:val="002B49"/>
                <w:sz w:val="19"/>
              </w:rPr>
              <w:t>Who They Support</w:t>
            </w:r>
          </w:p>
        </w:tc>
        <w:tc>
          <w:tcPr>
            <w:tcW w:w="7143" w:type="dxa"/>
          </w:tcPr>
          <w:p w14:paraId="396FD231">
            <w:pPr>
              <w:spacing w:before="20" w:after="20" w:line="240" w:lineRule="auto"/>
            </w:pPr>
            <w:r>
              <w:rPr>
                <w:sz w:val="19"/>
              </w:rPr>
              <w:t>Job seekers, including culturally and linguistically diverse (CALD) participants and refugees, receiving Centrelink income support or referred to Workforce Australia</w:t>
            </w:r>
          </w:p>
        </w:tc>
      </w:tr>
      <w:tr w14:paraId="79FC3F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30" w:type="dxa"/>
            <w:left w:w="80" w:type="dxa"/>
            <w:bottom w:w="30" w:type="dxa"/>
            <w:right w:w="80" w:type="dxa"/>
          </w:tblCellMar>
        </w:tblPrEx>
        <w:tc>
          <w:tcPr>
            <w:tcW w:w="2494" w:type="dxa"/>
            <w:shd w:val="clear" w:color="auto" w:fill="E8F4FD"/>
          </w:tcPr>
          <w:p w14:paraId="404E02E2">
            <w:pPr>
              <w:spacing w:before="20" w:after="20" w:line="240" w:lineRule="auto"/>
            </w:pPr>
            <w:r>
              <w:rPr>
                <w:b/>
                <w:color w:val="002B49"/>
                <w:sz w:val="19"/>
              </w:rPr>
              <w:t>Location / Coverage</w:t>
            </w:r>
          </w:p>
        </w:tc>
        <w:tc>
          <w:tcPr>
            <w:tcW w:w="7143" w:type="dxa"/>
          </w:tcPr>
          <w:p w14:paraId="7F4BD208">
            <w:pPr>
              <w:spacing w:before="20" w:after="20" w:line="240" w:lineRule="auto"/>
            </w:pPr>
            <w:r>
              <w:rPr>
                <w:sz w:val="19"/>
              </w:rPr>
              <w:t>Mount Gravatt, Springwood, Inala, Woodridge and Logan hubs (scan-recorded)</w:t>
            </w:r>
          </w:p>
        </w:tc>
      </w:tr>
      <w:tr w14:paraId="724577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30" w:type="dxa"/>
            <w:left w:w="80" w:type="dxa"/>
            <w:bottom w:w="30" w:type="dxa"/>
            <w:right w:w="80" w:type="dxa"/>
          </w:tblCellMar>
        </w:tblPrEx>
        <w:tc>
          <w:tcPr>
            <w:tcW w:w="2494" w:type="dxa"/>
            <w:shd w:val="clear" w:color="auto" w:fill="E8F4FD"/>
          </w:tcPr>
          <w:p w14:paraId="039D88DE">
            <w:pPr>
              <w:spacing w:before="20" w:after="20" w:line="240" w:lineRule="auto"/>
            </w:pPr>
            <w:r>
              <w:rPr>
                <w:b/>
                <w:color w:val="002B49"/>
                <w:sz w:val="19"/>
              </w:rPr>
              <w:t>Phone</w:t>
            </w:r>
          </w:p>
        </w:tc>
        <w:tc>
          <w:tcPr>
            <w:tcW w:w="7143" w:type="dxa"/>
          </w:tcPr>
          <w:p w14:paraId="2414D070">
            <w:pPr>
              <w:spacing w:before="20" w:after="20" w:line="240" w:lineRule="auto"/>
            </w:pPr>
            <w:r>
              <w:rPr>
                <w:sz w:val="19"/>
              </w:rPr>
              <w:t>1800 276 932 / 1800 276 276</w:t>
            </w:r>
          </w:p>
        </w:tc>
      </w:tr>
      <w:tr w14:paraId="4F2A7B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30" w:type="dxa"/>
            <w:left w:w="80" w:type="dxa"/>
            <w:bottom w:w="30" w:type="dxa"/>
            <w:right w:w="80" w:type="dxa"/>
          </w:tblCellMar>
        </w:tblPrEx>
        <w:tc>
          <w:tcPr>
            <w:tcW w:w="2494" w:type="dxa"/>
            <w:shd w:val="clear" w:color="auto" w:fill="E8F4FD"/>
          </w:tcPr>
          <w:p w14:paraId="63382B91">
            <w:pPr>
              <w:spacing w:before="20" w:after="20" w:line="240" w:lineRule="auto"/>
            </w:pPr>
            <w:r>
              <w:rPr>
                <w:b/>
                <w:color w:val="002B49"/>
                <w:sz w:val="19"/>
              </w:rPr>
              <w:t>Email</w:t>
            </w:r>
          </w:p>
        </w:tc>
        <w:tc>
          <w:tcPr>
            <w:tcW w:w="7143" w:type="dxa"/>
          </w:tcPr>
          <w:p w14:paraId="53E616D0">
            <w:pPr>
              <w:spacing w:before="20" w:after="20" w:line="240" w:lineRule="auto"/>
            </w:pPr>
            <w:r>
              <w:rPr>
                <w:sz w:val="19"/>
              </w:rPr>
              <w:t>support@apm.net.au</w:t>
            </w:r>
          </w:p>
        </w:tc>
      </w:tr>
      <w:tr w14:paraId="3CC2AD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30" w:type="dxa"/>
            <w:left w:w="80" w:type="dxa"/>
            <w:bottom w:w="30" w:type="dxa"/>
            <w:right w:w="80" w:type="dxa"/>
          </w:tblCellMar>
        </w:tblPrEx>
        <w:tc>
          <w:tcPr>
            <w:tcW w:w="2494" w:type="dxa"/>
            <w:shd w:val="clear" w:color="auto" w:fill="E8F4FD"/>
          </w:tcPr>
          <w:p w14:paraId="5271E3DD">
            <w:pPr>
              <w:spacing w:before="20" w:after="20" w:line="240" w:lineRule="auto"/>
            </w:pPr>
            <w:r>
              <w:rPr>
                <w:b/>
                <w:color w:val="002B49"/>
                <w:sz w:val="19"/>
              </w:rPr>
              <w:t>Website</w:t>
            </w:r>
          </w:p>
        </w:tc>
        <w:tc>
          <w:tcPr>
            <w:tcW w:w="7143" w:type="dxa"/>
          </w:tcPr>
          <w:p w14:paraId="70A9D18F">
            <w:pPr>
              <w:spacing w:before="20" w:after="20" w:line="240" w:lineRule="auto"/>
            </w:pPr>
            <w:r>
              <w:fldChar w:fldCharType="begin"/>
            </w:r>
            <w:r>
              <w:instrText xml:space="preserve"> HYPERLINK "https://apm.net.au/job-seekers/workforce-australia/culturally-diverse-participants" \h </w:instrText>
            </w:r>
            <w:r>
              <w:fldChar w:fldCharType="separate"/>
            </w:r>
            <w:r>
              <w:rPr>
                <w:rFonts w:ascii="Calibri" w:hAnsi="Calibri"/>
                <w:color w:val="0066CC"/>
                <w:sz w:val="19"/>
                <w:u w:val="single"/>
              </w:rPr>
              <w:t>https://apm.net.au/job-seekers/workforce-australia/culturally-diverse-participants</w:t>
            </w:r>
            <w:r>
              <w:rPr>
                <w:rFonts w:ascii="Calibri" w:hAnsi="Calibri"/>
                <w:color w:val="0066CC"/>
                <w:sz w:val="19"/>
                <w:u w:val="single"/>
              </w:rPr>
              <w:fldChar w:fldCharType="end"/>
            </w:r>
          </w:p>
        </w:tc>
      </w:tr>
      <w:tr w14:paraId="7DDDD8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30" w:type="dxa"/>
            <w:left w:w="80" w:type="dxa"/>
            <w:bottom w:w="30" w:type="dxa"/>
            <w:right w:w="80" w:type="dxa"/>
          </w:tblCellMar>
        </w:tblPrEx>
        <w:tc>
          <w:tcPr>
            <w:tcW w:w="2494" w:type="dxa"/>
            <w:shd w:val="clear" w:color="auto" w:fill="E8F4FD"/>
          </w:tcPr>
          <w:p w14:paraId="0518217A">
            <w:pPr>
              <w:spacing w:before="20" w:after="20" w:line="240" w:lineRule="auto"/>
            </w:pPr>
            <w:r>
              <w:rPr>
                <w:b/>
                <w:color w:val="002B49"/>
                <w:sz w:val="19"/>
              </w:rPr>
              <w:t>Referral / Intake</w:t>
            </w:r>
          </w:p>
        </w:tc>
        <w:tc>
          <w:tcPr>
            <w:tcW w:w="7143" w:type="dxa"/>
          </w:tcPr>
          <w:p w14:paraId="4BB52125">
            <w:pPr>
              <w:spacing w:before="20" w:after="20" w:line="240" w:lineRule="auto"/>
            </w:pPr>
            <w:r>
              <w:rPr>
                <w:sz w:val="19"/>
              </w:rPr>
              <w:t>Registration through the Workforce Australia online portal, contacting APM directly, or referral via Services Australia/Centrelink</w:t>
            </w:r>
          </w:p>
        </w:tc>
      </w:tr>
      <w:tr w14:paraId="2A5F3A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30" w:type="dxa"/>
            <w:left w:w="80" w:type="dxa"/>
            <w:bottom w:w="30" w:type="dxa"/>
            <w:right w:w="80" w:type="dxa"/>
          </w:tblCellMar>
        </w:tblPrEx>
        <w:tc>
          <w:tcPr>
            <w:tcW w:w="2494" w:type="dxa"/>
            <w:shd w:val="clear" w:color="auto" w:fill="E8F4FD"/>
          </w:tcPr>
          <w:p w14:paraId="5D9ABA45">
            <w:pPr>
              <w:spacing w:before="20" w:after="20" w:line="240" w:lineRule="auto"/>
            </w:pPr>
            <w:r>
              <w:rPr>
                <w:b/>
                <w:color w:val="002B49"/>
                <w:sz w:val="19"/>
              </w:rPr>
              <w:t>Verification Status</w:t>
            </w:r>
          </w:p>
        </w:tc>
        <w:tc>
          <w:tcPr>
            <w:tcW w:w="7143" w:type="dxa"/>
          </w:tcPr>
          <w:p w14:paraId="4736E750">
            <w:pPr>
              <w:spacing w:before="20" w:after="20" w:line="240" w:lineRule="auto"/>
            </w:pPr>
            <w:r>
              <w:rPr>
                <w:sz w:val="19"/>
              </w:rPr>
              <w:t>REQUIRES VERIFICATION — environmental scan record from official provider pages.</w:t>
            </w:r>
          </w:p>
        </w:tc>
      </w:tr>
    </w:tbl>
    <w:p w14:paraId="4EAC9EF0">
      <w:pPr>
        <w:pStyle w:val="4"/>
      </w:pPr>
      <w:r>
        <w:rPr>
          <w:color w:val="002B49"/>
        </w:rPr>
        <w:t>atWork Australia — Workforce Australia</w:t>
      </w:r>
    </w:p>
    <w:tbl>
      <w:tblPr>
        <w:tblStyle w:val="3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30" w:type="dxa"/>
          <w:left w:w="80" w:type="dxa"/>
          <w:bottom w:w="30" w:type="dxa"/>
          <w:right w:w="80" w:type="dxa"/>
        </w:tblCellMar>
      </w:tblPr>
      <w:tblGrid>
        <w:gridCol w:w="4819"/>
        <w:gridCol w:w="4819"/>
      </w:tblGrid>
      <w:tr w14:paraId="4DAA6F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30" w:type="dxa"/>
            <w:left w:w="80" w:type="dxa"/>
            <w:bottom w:w="30" w:type="dxa"/>
            <w:right w:w="80" w:type="dxa"/>
          </w:tblCellMar>
        </w:tblPrEx>
        <w:tc>
          <w:tcPr>
            <w:tcW w:w="2494" w:type="dxa"/>
            <w:shd w:val="clear" w:color="auto" w:fill="E8F4FD"/>
          </w:tcPr>
          <w:p w14:paraId="21023457">
            <w:pPr>
              <w:spacing w:before="20" w:after="20" w:line="240" w:lineRule="auto"/>
            </w:pPr>
            <w:r>
              <w:rPr>
                <w:b/>
                <w:color w:val="002B49"/>
                <w:sz w:val="19"/>
              </w:rPr>
              <w:t>Organisation</w:t>
            </w:r>
          </w:p>
        </w:tc>
        <w:tc>
          <w:tcPr>
            <w:tcW w:w="7143" w:type="dxa"/>
          </w:tcPr>
          <w:p w14:paraId="76F161AA">
            <w:pPr>
              <w:spacing w:before="20" w:after="20" w:line="240" w:lineRule="auto"/>
            </w:pPr>
            <w:r>
              <w:rPr>
                <w:sz w:val="19"/>
              </w:rPr>
              <w:t>atWork Australia Pty Ltd</w:t>
            </w:r>
          </w:p>
        </w:tc>
      </w:tr>
      <w:tr w14:paraId="0DF793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30" w:type="dxa"/>
            <w:left w:w="80" w:type="dxa"/>
            <w:bottom w:w="30" w:type="dxa"/>
            <w:right w:w="80" w:type="dxa"/>
          </w:tblCellMar>
        </w:tblPrEx>
        <w:tc>
          <w:tcPr>
            <w:tcW w:w="2494" w:type="dxa"/>
            <w:shd w:val="clear" w:color="auto" w:fill="E8F4FD"/>
          </w:tcPr>
          <w:p w14:paraId="64EE83EE">
            <w:pPr>
              <w:spacing w:before="20" w:after="20" w:line="240" w:lineRule="auto"/>
            </w:pPr>
            <w:r>
              <w:rPr>
                <w:b/>
                <w:color w:val="002B49"/>
                <w:sz w:val="19"/>
              </w:rPr>
              <w:t>Program / Service</w:t>
            </w:r>
          </w:p>
        </w:tc>
        <w:tc>
          <w:tcPr>
            <w:tcW w:w="7143" w:type="dxa"/>
          </w:tcPr>
          <w:p w14:paraId="705BF7B5">
            <w:pPr>
              <w:spacing w:before="20" w:after="20" w:line="240" w:lineRule="auto"/>
            </w:pPr>
            <w:r>
              <w:rPr>
                <w:sz w:val="19"/>
              </w:rPr>
              <w:t>Workforce Australia Employment Services</w:t>
            </w:r>
          </w:p>
        </w:tc>
      </w:tr>
      <w:tr w14:paraId="4E71E0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30" w:type="dxa"/>
            <w:left w:w="80" w:type="dxa"/>
            <w:bottom w:w="30" w:type="dxa"/>
            <w:right w:w="80" w:type="dxa"/>
          </w:tblCellMar>
        </w:tblPrEx>
        <w:tc>
          <w:tcPr>
            <w:tcW w:w="2494" w:type="dxa"/>
            <w:shd w:val="clear" w:color="auto" w:fill="E8F4FD"/>
          </w:tcPr>
          <w:p w14:paraId="15A87154">
            <w:pPr>
              <w:spacing w:before="20" w:after="20" w:line="240" w:lineRule="auto"/>
            </w:pPr>
            <w:r>
              <w:rPr>
                <w:b/>
                <w:color w:val="002B49"/>
                <w:sz w:val="19"/>
              </w:rPr>
              <w:t>Service Description</w:t>
            </w:r>
          </w:p>
        </w:tc>
        <w:tc>
          <w:tcPr>
            <w:tcW w:w="7143" w:type="dxa"/>
          </w:tcPr>
          <w:p w14:paraId="32922496">
            <w:pPr>
              <w:spacing w:before="20" w:after="20" w:line="240" w:lineRule="auto"/>
            </w:pPr>
            <w:r>
              <w:rPr>
                <w:sz w:val="19"/>
              </w:rPr>
              <w:t>Personalised job search planning, employer connections, skill-building workshops, post-placement support and health/wellbeing assistance.</w:t>
            </w:r>
          </w:p>
        </w:tc>
      </w:tr>
      <w:tr w14:paraId="70BBD6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30" w:type="dxa"/>
            <w:left w:w="80" w:type="dxa"/>
            <w:bottom w:w="30" w:type="dxa"/>
            <w:right w:w="80" w:type="dxa"/>
          </w:tblCellMar>
        </w:tblPrEx>
        <w:tc>
          <w:tcPr>
            <w:tcW w:w="2494" w:type="dxa"/>
            <w:shd w:val="clear" w:color="auto" w:fill="E8F4FD"/>
          </w:tcPr>
          <w:p w14:paraId="1ADB6393">
            <w:pPr>
              <w:spacing w:before="20" w:after="20" w:line="240" w:lineRule="auto"/>
            </w:pPr>
            <w:r>
              <w:rPr>
                <w:b/>
                <w:color w:val="002B49"/>
                <w:sz w:val="19"/>
              </w:rPr>
              <w:t>Location / Coverage</w:t>
            </w:r>
          </w:p>
        </w:tc>
        <w:tc>
          <w:tcPr>
            <w:tcW w:w="7143" w:type="dxa"/>
          </w:tcPr>
          <w:p w14:paraId="41B2E480">
            <w:pPr>
              <w:spacing w:before="20" w:after="20" w:line="240" w:lineRule="auto"/>
            </w:pPr>
            <w:r>
              <w:rPr>
                <w:sz w:val="19"/>
              </w:rPr>
              <w:t>Upper Mount Gravatt, Logan and surrounding Brisbane South sites (scan-recorded)</w:t>
            </w:r>
          </w:p>
        </w:tc>
      </w:tr>
      <w:tr w14:paraId="77485D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30" w:type="dxa"/>
            <w:left w:w="80" w:type="dxa"/>
            <w:bottom w:w="30" w:type="dxa"/>
            <w:right w:w="80" w:type="dxa"/>
          </w:tblCellMar>
        </w:tblPrEx>
        <w:tc>
          <w:tcPr>
            <w:tcW w:w="2494" w:type="dxa"/>
            <w:shd w:val="clear" w:color="auto" w:fill="E8F4FD"/>
          </w:tcPr>
          <w:p w14:paraId="4E106241">
            <w:pPr>
              <w:spacing w:before="20" w:after="20" w:line="240" w:lineRule="auto"/>
            </w:pPr>
            <w:r>
              <w:rPr>
                <w:b/>
                <w:color w:val="002B49"/>
                <w:sz w:val="19"/>
              </w:rPr>
              <w:t>Phone</w:t>
            </w:r>
          </w:p>
        </w:tc>
        <w:tc>
          <w:tcPr>
            <w:tcW w:w="7143" w:type="dxa"/>
          </w:tcPr>
          <w:p w14:paraId="0E042BE1">
            <w:pPr>
              <w:spacing w:before="20" w:after="20" w:line="240" w:lineRule="auto"/>
            </w:pPr>
            <w:r>
              <w:rPr>
                <w:sz w:val="19"/>
              </w:rPr>
              <w:t>1300 080 856</w:t>
            </w:r>
          </w:p>
        </w:tc>
      </w:tr>
      <w:tr w14:paraId="563257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30" w:type="dxa"/>
            <w:left w:w="80" w:type="dxa"/>
            <w:bottom w:w="30" w:type="dxa"/>
            <w:right w:w="80" w:type="dxa"/>
          </w:tblCellMar>
        </w:tblPrEx>
        <w:tc>
          <w:tcPr>
            <w:tcW w:w="2494" w:type="dxa"/>
            <w:shd w:val="clear" w:color="auto" w:fill="E8F4FD"/>
          </w:tcPr>
          <w:p w14:paraId="684F2062">
            <w:pPr>
              <w:spacing w:before="20" w:after="20" w:line="240" w:lineRule="auto"/>
            </w:pPr>
            <w:r>
              <w:rPr>
                <w:b/>
                <w:color w:val="002B49"/>
                <w:sz w:val="19"/>
              </w:rPr>
              <w:t>Email</w:t>
            </w:r>
          </w:p>
        </w:tc>
        <w:tc>
          <w:tcPr>
            <w:tcW w:w="7143" w:type="dxa"/>
          </w:tcPr>
          <w:p w14:paraId="6F180AC5">
            <w:pPr>
              <w:spacing w:before="20" w:after="20" w:line="240" w:lineRule="auto"/>
            </w:pPr>
            <w:r>
              <w:rPr>
                <w:sz w:val="19"/>
              </w:rPr>
              <w:t>contact@atworkaustralia.com.au</w:t>
            </w:r>
          </w:p>
        </w:tc>
      </w:tr>
      <w:tr w14:paraId="5173A1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30" w:type="dxa"/>
            <w:left w:w="80" w:type="dxa"/>
            <w:bottom w:w="30" w:type="dxa"/>
            <w:right w:w="80" w:type="dxa"/>
          </w:tblCellMar>
        </w:tblPrEx>
        <w:tc>
          <w:tcPr>
            <w:tcW w:w="2494" w:type="dxa"/>
            <w:shd w:val="clear" w:color="auto" w:fill="E8F4FD"/>
          </w:tcPr>
          <w:p w14:paraId="2AB156B2">
            <w:pPr>
              <w:spacing w:before="20" w:after="20" w:line="240" w:lineRule="auto"/>
            </w:pPr>
            <w:r>
              <w:rPr>
                <w:b/>
                <w:color w:val="002B49"/>
                <w:sz w:val="19"/>
              </w:rPr>
              <w:t>Website</w:t>
            </w:r>
          </w:p>
        </w:tc>
        <w:tc>
          <w:tcPr>
            <w:tcW w:w="7143" w:type="dxa"/>
          </w:tcPr>
          <w:p w14:paraId="73CA7A3E">
            <w:pPr>
              <w:spacing w:before="20" w:after="20" w:line="240" w:lineRule="auto"/>
            </w:pPr>
            <w:r>
              <w:fldChar w:fldCharType="begin"/>
            </w:r>
            <w:r>
              <w:instrText xml:space="preserve"> HYPERLINK "https://www.atworkaustralia.com.au/workforceaustralia/" \h </w:instrText>
            </w:r>
            <w:r>
              <w:fldChar w:fldCharType="separate"/>
            </w:r>
            <w:r>
              <w:rPr>
                <w:rFonts w:ascii="Calibri" w:hAnsi="Calibri"/>
                <w:color w:val="0066CC"/>
                <w:sz w:val="19"/>
                <w:u w:val="single"/>
              </w:rPr>
              <w:t>https://www.atworkaustralia.com.au/workforceaustralia/</w:t>
            </w:r>
            <w:r>
              <w:rPr>
                <w:rFonts w:ascii="Calibri" w:hAnsi="Calibri"/>
                <w:color w:val="0066CC"/>
                <w:sz w:val="19"/>
                <w:u w:val="single"/>
              </w:rPr>
              <w:fldChar w:fldCharType="end"/>
            </w:r>
          </w:p>
        </w:tc>
      </w:tr>
      <w:tr w14:paraId="2A2376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30" w:type="dxa"/>
            <w:left w:w="80" w:type="dxa"/>
            <w:bottom w:w="30" w:type="dxa"/>
            <w:right w:w="80" w:type="dxa"/>
          </w:tblCellMar>
        </w:tblPrEx>
        <w:tc>
          <w:tcPr>
            <w:tcW w:w="2494" w:type="dxa"/>
            <w:shd w:val="clear" w:color="auto" w:fill="E8F4FD"/>
          </w:tcPr>
          <w:p w14:paraId="1D5A4A79">
            <w:pPr>
              <w:spacing w:before="20" w:after="20" w:line="240" w:lineRule="auto"/>
            </w:pPr>
            <w:r>
              <w:rPr>
                <w:b/>
                <w:color w:val="002B49"/>
                <w:sz w:val="19"/>
              </w:rPr>
              <w:t>Referral / Intake</w:t>
            </w:r>
          </w:p>
        </w:tc>
        <w:tc>
          <w:tcPr>
            <w:tcW w:w="7143" w:type="dxa"/>
          </w:tcPr>
          <w:p w14:paraId="7FD2282E">
            <w:pPr>
              <w:spacing w:before="20" w:after="20" w:line="240" w:lineRule="auto"/>
            </w:pPr>
            <w:r>
              <w:rPr>
                <w:sz w:val="19"/>
              </w:rPr>
              <w:t>Online contact form, phone consultation, or selecting atWork Australia on the Workforce Australia portal</w:t>
            </w:r>
          </w:p>
        </w:tc>
      </w:tr>
      <w:tr w14:paraId="017543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30" w:type="dxa"/>
            <w:left w:w="80" w:type="dxa"/>
            <w:bottom w:w="30" w:type="dxa"/>
            <w:right w:w="80" w:type="dxa"/>
          </w:tblCellMar>
        </w:tblPrEx>
        <w:tc>
          <w:tcPr>
            <w:tcW w:w="2494" w:type="dxa"/>
            <w:shd w:val="clear" w:color="auto" w:fill="E8F4FD"/>
          </w:tcPr>
          <w:p w14:paraId="6B6D87C1">
            <w:pPr>
              <w:spacing w:before="20" w:after="20" w:line="240" w:lineRule="auto"/>
            </w:pPr>
            <w:r>
              <w:rPr>
                <w:b/>
                <w:color w:val="002B49"/>
                <w:sz w:val="19"/>
              </w:rPr>
              <w:t>Verification Status</w:t>
            </w:r>
          </w:p>
        </w:tc>
        <w:tc>
          <w:tcPr>
            <w:tcW w:w="7143" w:type="dxa"/>
          </w:tcPr>
          <w:p w14:paraId="6561108C">
            <w:pPr>
              <w:spacing w:before="20" w:after="20" w:line="240" w:lineRule="auto"/>
            </w:pPr>
            <w:r>
              <w:rPr>
                <w:sz w:val="19"/>
              </w:rPr>
              <w:t>REQUIRES VERIFICATION — environmental scan record from official provider pages.</w:t>
            </w:r>
          </w:p>
        </w:tc>
      </w:tr>
    </w:tbl>
    <w:p w14:paraId="2CE85902">
      <w:pPr>
        <w:pStyle w:val="4"/>
      </w:pPr>
      <w:r>
        <w:rPr>
          <w:color w:val="002B49"/>
        </w:rPr>
        <w:t>WISE Employment — Workforce Australia</w:t>
      </w:r>
    </w:p>
    <w:tbl>
      <w:tblPr>
        <w:tblStyle w:val="3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30" w:type="dxa"/>
          <w:left w:w="80" w:type="dxa"/>
          <w:bottom w:w="30" w:type="dxa"/>
          <w:right w:w="80" w:type="dxa"/>
        </w:tblCellMar>
      </w:tblPr>
      <w:tblGrid>
        <w:gridCol w:w="4819"/>
        <w:gridCol w:w="4819"/>
      </w:tblGrid>
      <w:tr w14:paraId="7EF7C1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30" w:type="dxa"/>
            <w:left w:w="80" w:type="dxa"/>
            <w:bottom w:w="30" w:type="dxa"/>
            <w:right w:w="80" w:type="dxa"/>
          </w:tblCellMar>
        </w:tblPrEx>
        <w:tc>
          <w:tcPr>
            <w:tcW w:w="2494" w:type="dxa"/>
            <w:shd w:val="clear" w:color="auto" w:fill="E8F4FD"/>
          </w:tcPr>
          <w:p w14:paraId="1D37AF70">
            <w:pPr>
              <w:spacing w:before="20" w:after="20" w:line="240" w:lineRule="auto"/>
            </w:pPr>
            <w:r>
              <w:rPr>
                <w:b/>
                <w:color w:val="002B49"/>
                <w:sz w:val="19"/>
              </w:rPr>
              <w:t>Organisation</w:t>
            </w:r>
          </w:p>
        </w:tc>
        <w:tc>
          <w:tcPr>
            <w:tcW w:w="7143" w:type="dxa"/>
          </w:tcPr>
          <w:p w14:paraId="4F81BDDB">
            <w:pPr>
              <w:spacing w:before="20" w:after="20" w:line="240" w:lineRule="auto"/>
            </w:pPr>
            <w:r>
              <w:rPr>
                <w:sz w:val="19"/>
              </w:rPr>
              <w:t>WISE Employment Ltd</w:t>
            </w:r>
          </w:p>
        </w:tc>
      </w:tr>
      <w:tr w14:paraId="373A9C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30" w:type="dxa"/>
            <w:left w:w="80" w:type="dxa"/>
            <w:bottom w:w="30" w:type="dxa"/>
            <w:right w:w="80" w:type="dxa"/>
          </w:tblCellMar>
        </w:tblPrEx>
        <w:tc>
          <w:tcPr>
            <w:tcW w:w="2494" w:type="dxa"/>
            <w:shd w:val="clear" w:color="auto" w:fill="E8F4FD"/>
          </w:tcPr>
          <w:p w14:paraId="50B0E949">
            <w:pPr>
              <w:spacing w:before="20" w:after="20" w:line="240" w:lineRule="auto"/>
            </w:pPr>
            <w:r>
              <w:rPr>
                <w:b/>
                <w:color w:val="002B49"/>
                <w:sz w:val="19"/>
              </w:rPr>
              <w:t>Program / Service</w:t>
            </w:r>
          </w:p>
        </w:tc>
        <w:tc>
          <w:tcPr>
            <w:tcW w:w="7143" w:type="dxa"/>
          </w:tcPr>
          <w:p w14:paraId="5B3E51C5">
            <w:pPr>
              <w:spacing w:before="20" w:after="20" w:line="240" w:lineRule="auto"/>
            </w:pPr>
            <w:r>
              <w:rPr>
                <w:sz w:val="19"/>
              </w:rPr>
              <w:t>Workforce Australia Employment Services — specialised job coaching</w:t>
            </w:r>
          </w:p>
        </w:tc>
      </w:tr>
      <w:tr w14:paraId="36E94E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30" w:type="dxa"/>
            <w:left w:w="80" w:type="dxa"/>
            <w:bottom w:w="30" w:type="dxa"/>
            <w:right w:w="80" w:type="dxa"/>
          </w:tblCellMar>
        </w:tblPrEx>
        <w:tc>
          <w:tcPr>
            <w:tcW w:w="2494" w:type="dxa"/>
            <w:shd w:val="clear" w:color="auto" w:fill="E8F4FD"/>
          </w:tcPr>
          <w:p w14:paraId="7B5F520A">
            <w:pPr>
              <w:spacing w:before="20" w:after="20" w:line="240" w:lineRule="auto"/>
            </w:pPr>
            <w:r>
              <w:rPr>
                <w:b/>
                <w:color w:val="002B49"/>
                <w:sz w:val="19"/>
              </w:rPr>
              <w:t>Service Description</w:t>
            </w:r>
          </w:p>
        </w:tc>
        <w:tc>
          <w:tcPr>
            <w:tcW w:w="7143" w:type="dxa"/>
          </w:tcPr>
          <w:p w14:paraId="6ABA374F">
            <w:pPr>
              <w:spacing w:before="20" w:after="20" w:line="240" w:lineRule="auto"/>
            </w:pPr>
            <w:r>
              <w:rPr>
                <w:sz w:val="19"/>
              </w:rPr>
              <w:t>Career counselling, job application support, accredited training connections and employer matchmaking.</w:t>
            </w:r>
          </w:p>
        </w:tc>
      </w:tr>
      <w:tr w14:paraId="4596FD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30" w:type="dxa"/>
            <w:left w:w="80" w:type="dxa"/>
            <w:bottom w:w="30" w:type="dxa"/>
            <w:right w:w="80" w:type="dxa"/>
          </w:tblCellMar>
        </w:tblPrEx>
        <w:tc>
          <w:tcPr>
            <w:tcW w:w="2494" w:type="dxa"/>
            <w:shd w:val="clear" w:color="auto" w:fill="E8F4FD"/>
          </w:tcPr>
          <w:p w14:paraId="04663AC7">
            <w:pPr>
              <w:spacing w:before="20" w:after="20" w:line="240" w:lineRule="auto"/>
            </w:pPr>
            <w:r>
              <w:rPr>
                <w:b/>
                <w:color w:val="002B49"/>
                <w:sz w:val="19"/>
              </w:rPr>
              <w:t>Who They Support</w:t>
            </w:r>
          </w:p>
        </w:tc>
        <w:tc>
          <w:tcPr>
            <w:tcW w:w="7143" w:type="dxa"/>
          </w:tcPr>
          <w:p w14:paraId="7EBFEC59">
            <w:pPr>
              <w:spacing w:before="20" w:after="20" w:line="240" w:lineRule="auto"/>
            </w:pPr>
            <w:r>
              <w:rPr>
                <w:sz w:val="19"/>
              </w:rPr>
              <w:t>Unemployed individuals, refugees and migrants requiring structured job-matching services</w:t>
            </w:r>
          </w:p>
        </w:tc>
      </w:tr>
      <w:tr w14:paraId="6072AB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30" w:type="dxa"/>
            <w:left w:w="80" w:type="dxa"/>
            <w:bottom w:w="30" w:type="dxa"/>
            <w:right w:w="80" w:type="dxa"/>
          </w:tblCellMar>
        </w:tblPrEx>
        <w:tc>
          <w:tcPr>
            <w:tcW w:w="2494" w:type="dxa"/>
            <w:shd w:val="clear" w:color="auto" w:fill="E8F4FD"/>
          </w:tcPr>
          <w:p w14:paraId="25D9CD81">
            <w:pPr>
              <w:spacing w:before="20" w:after="20" w:line="240" w:lineRule="auto"/>
            </w:pPr>
            <w:r>
              <w:rPr>
                <w:b/>
                <w:color w:val="002B49"/>
                <w:sz w:val="19"/>
              </w:rPr>
              <w:t>Location / Coverage</w:t>
            </w:r>
          </w:p>
        </w:tc>
        <w:tc>
          <w:tcPr>
            <w:tcW w:w="7143" w:type="dxa"/>
          </w:tcPr>
          <w:p w14:paraId="5941C240">
            <w:pPr>
              <w:spacing w:before="20" w:after="20" w:line="240" w:lineRule="auto"/>
            </w:pPr>
            <w:r>
              <w:rPr>
                <w:sz w:val="19"/>
              </w:rPr>
              <w:t>Greater Brisbane and South East Queensland (scan-recorded)</w:t>
            </w:r>
          </w:p>
        </w:tc>
      </w:tr>
      <w:tr w14:paraId="01D216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30" w:type="dxa"/>
            <w:left w:w="80" w:type="dxa"/>
            <w:bottom w:w="30" w:type="dxa"/>
            <w:right w:w="80" w:type="dxa"/>
          </w:tblCellMar>
        </w:tblPrEx>
        <w:tc>
          <w:tcPr>
            <w:tcW w:w="2494" w:type="dxa"/>
            <w:shd w:val="clear" w:color="auto" w:fill="E8F4FD"/>
          </w:tcPr>
          <w:p w14:paraId="2557525A">
            <w:pPr>
              <w:spacing w:before="20" w:after="20" w:line="240" w:lineRule="auto"/>
            </w:pPr>
            <w:r>
              <w:rPr>
                <w:b/>
                <w:color w:val="002B49"/>
                <w:sz w:val="19"/>
              </w:rPr>
              <w:t>Phone</w:t>
            </w:r>
          </w:p>
        </w:tc>
        <w:tc>
          <w:tcPr>
            <w:tcW w:w="7143" w:type="dxa"/>
          </w:tcPr>
          <w:p w14:paraId="5E527EF0">
            <w:pPr>
              <w:spacing w:before="20" w:after="20" w:line="240" w:lineRule="auto"/>
            </w:pPr>
            <w:r>
              <w:rPr>
                <w:sz w:val="19"/>
              </w:rPr>
              <w:t>1800 685 105</w:t>
            </w:r>
          </w:p>
        </w:tc>
      </w:tr>
      <w:tr w14:paraId="19A9F0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30" w:type="dxa"/>
            <w:left w:w="80" w:type="dxa"/>
            <w:bottom w:w="30" w:type="dxa"/>
            <w:right w:w="80" w:type="dxa"/>
          </w:tblCellMar>
        </w:tblPrEx>
        <w:tc>
          <w:tcPr>
            <w:tcW w:w="2494" w:type="dxa"/>
            <w:shd w:val="clear" w:color="auto" w:fill="E8F4FD"/>
          </w:tcPr>
          <w:p w14:paraId="6566B229">
            <w:pPr>
              <w:spacing w:before="20" w:after="20" w:line="240" w:lineRule="auto"/>
            </w:pPr>
            <w:r>
              <w:rPr>
                <w:b/>
                <w:color w:val="002B49"/>
                <w:sz w:val="19"/>
              </w:rPr>
              <w:t>Email</w:t>
            </w:r>
          </w:p>
        </w:tc>
        <w:tc>
          <w:tcPr>
            <w:tcW w:w="7143" w:type="dxa"/>
          </w:tcPr>
          <w:p w14:paraId="3B63ACD3">
            <w:pPr>
              <w:spacing w:before="20" w:after="20" w:line="240" w:lineRule="auto"/>
            </w:pPr>
            <w:r>
              <w:rPr>
                <w:sz w:val="19"/>
              </w:rPr>
              <w:t>wiseemployment@wise.org.au</w:t>
            </w:r>
          </w:p>
        </w:tc>
      </w:tr>
      <w:tr w14:paraId="155C7C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30" w:type="dxa"/>
            <w:left w:w="80" w:type="dxa"/>
            <w:bottom w:w="30" w:type="dxa"/>
            <w:right w:w="80" w:type="dxa"/>
          </w:tblCellMar>
        </w:tblPrEx>
        <w:tc>
          <w:tcPr>
            <w:tcW w:w="2494" w:type="dxa"/>
            <w:shd w:val="clear" w:color="auto" w:fill="E8F4FD"/>
          </w:tcPr>
          <w:p w14:paraId="646CBF64">
            <w:pPr>
              <w:spacing w:before="20" w:after="20" w:line="240" w:lineRule="auto"/>
            </w:pPr>
            <w:r>
              <w:rPr>
                <w:b/>
                <w:color w:val="002B49"/>
                <w:sz w:val="19"/>
              </w:rPr>
              <w:t>Website</w:t>
            </w:r>
          </w:p>
        </w:tc>
        <w:tc>
          <w:tcPr>
            <w:tcW w:w="7143" w:type="dxa"/>
          </w:tcPr>
          <w:p w14:paraId="6DEDAD53">
            <w:pPr>
              <w:spacing w:before="20" w:after="20" w:line="240" w:lineRule="auto"/>
            </w:pPr>
            <w:r>
              <w:fldChar w:fldCharType="begin"/>
            </w:r>
            <w:r>
              <w:instrText xml:space="preserve"> HYPERLINK "https://wise.org.au/workforce-australia/" \h </w:instrText>
            </w:r>
            <w:r>
              <w:fldChar w:fldCharType="separate"/>
            </w:r>
            <w:r>
              <w:rPr>
                <w:rFonts w:ascii="Calibri" w:hAnsi="Calibri"/>
                <w:color w:val="0066CC"/>
                <w:sz w:val="19"/>
                <w:u w:val="single"/>
              </w:rPr>
              <w:t>https://wise.org.au/workforce-australia/</w:t>
            </w:r>
            <w:r>
              <w:rPr>
                <w:rFonts w:ascii="Calibri" w:hAnsi="Calibri"/>
                <w:color w:val="0066CC"/>
                <w:sz w:val="19"/>
                <w:u w:val="single"/>
              </w:rPr>
              <w:fldChar w:fldCharType="end"/>
            </w:r>
          </w:p>
        </w:tc>
      </w:tr>
      <w:tr w14:paraId="3C62D9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30" w:type="dxa"/>
            <w:left w:w="80" w:type="dxa"/>
            <w:bottom w:w="30" w:type="dxa"/>
            <w:right w:w="80" w:type="dxa"/>
          </w:tblCellMar>
        </w:tblPrEx>
        <w:tc>
          <w:tcPr>
            <w:tcW w:w="2494" w:type="dxa"/>
            <w:shd w:val="clear" w:color="auto" w:fill="E8F4FD"/>
          </w:tcPr>
          <w:p w14:paraId="3DFF8908">
            <w:pPr>
              <w:spacing w:before="20" w:after="20" w:line="240" w:lineRule="auto"/>
            </w:pPr>
            <w:r>
              <w:rPr>
                <w:b/>
                <w:color w:val="002B49"/>
                <w:sz w:val="19"/>
              </w:rPr>
              <w:t>Verification Status</w:t>
            </w:r>
          </w:p>
        </w:tc>
        <w:tc>
          <w:tcPr>
            <w:tcW w:w="7143" w:type="dxa"/>
          </w:tcPr>
          <w:p w14:paraId="5FAA71CD">
            <w:pPr>
              <w:spacing w:before="20" w:after="20" w:line="240" w:lineRule="auto"/>
            </w:pPr>
            <w:r>
              <w:rPr>
                <w:sz w:val="19"/>
              </w:rPr>
              <w:t>REQUIRES VERIFICATION — environmental scan record from official provider pages.</w:t>
            </w:r>
          </w:p>
        </w:tc>
      </w:tr>
    </w:tbl>
    <w:p w14:paraId="498FE304">
      <w:pPr>
        <w:pStyle w:val="3"/>
      </w:pPr>
      <w:r>
        <w:rPr>
          <w:color w:val="0066CC"/>
        </w:rPr>
        <w:t>5.15 Self-Employment Assistance (SEA)</w:t>
      </w:r>
    </w:p>
    <w:p w14:paraId="57FDE544">
      <w:pPr>
        <w:shd w:val="clear" w:color="auto" w:fill="F2F2F2"/>
        <w:spacing w:before="0" w:after="160"/>
      </w:pPr>
      <w:r>
        <w:rPr>
          <w:b w:val="0"/>
          <w:i/>
          <w:color w:val="595959"/>
          <w:sz w:val="19"/>
        </w:rPr>
        <w:t>[Note] Subsection added to the template to reflect regional provision identified in the environmental scan. Self-Employment Assistance is an Australian Government program delivered through the Workforce Australia network.</w:t>
      </w:r>
    </w:p>
    <w:p w14:paraId="6BF7AA52">
      <w:pPr>
        <w:spacing w:before="0" w:after="120"/>
      </w:pPr>
      <w:r>
        <w:rPr>
          <w:b w:val="0"/>
          <w:i w:val="0"/>
          <w:sz w:val="21"/>
        </w:rPr>
        <w:t>Self-Employment Assistance (SEA) helps eligible participants to start, build or adapt a small business, including exploring self-employment, small business training, business plan development, 12-month coaching and financial support assessment.</w:t>
      </w:r>
    </w:p>
    <w:tbl>
      <w:tblPr>
        <w:tblStyle w:val="35"/>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0" w:type="dxa"/>
          <w:left w:w="80" w:type="dxa"/>
          <w:bottom w:w="40" w:type="dxa"/>
          <w:right w:w="80" w:type="dxa"/>
        </w:tblCellMar>
      </w:tblPr>
      <w:tblGrid>
        <w:gridCol w:w="1928"/>
        <w:gridCol w:w="1928"/>
        <w:gridCol w:w="1928"/>
        <w:gridCol w:w="1928"/>
        <w:gridCol w:w="1928"/>
      </w:tblGrid>
      <w:tr w14:paraId="63FA87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40" w:type="dxa"/>
            <w:left w:w="80" w:type="dxa"/>
            <w:bottom w:w="40" w:type="dxa"/>
            <w:right w:w="80" w:type="dxa"/>
          </w:tblCellMar>
        </w:tblPrEx>
        <w:trPr>
          <w:tblHeader/>
          <w:jc w:val="center"/>
        </w:trPr>
        <w:tc>
          <w:tcPr>
            <w:tcW w:w="2381" w:type="dxa"/>
            <w:shd w:val="clear" w:color="auto" w:fill="002B49"/>
          </w:tcPr>
          <w:p w14:paraId="3286FF8E">
            <w:pPr>
              <w:spacing w:before="40" w:after="40" w:line="240" w:lineRule="auto"/>
            </w:pPr>
            <w:r>
              <w:rPr>
                <w:b/>
                <w:color w:val="FFFFFF"/>
                <w:sz w:val="19"/>
              </w:rPr>
              <w:t>Provider</w:t>
            </w:r>
          </w:p>
        </w:tc>
        <w:tc>
          <w:tcPr>
            <w:tcW w:w="2835" w:type="dxa"/>
            <w:shd w:val="clear" w:color="auto" w:fill="002B49"/>
          </w:tcPr>
          <w:p w14:paraId="054E3540">
            <w:pPr>
              <w:spacing w:before="40" w:after="40" w:line="240" w:lineRule="auto"/>
            </w:pPr>
            <w:r>
              <w:rPr>
                <w:b/>
                <w:color w:val="FFFFFF"/>
                <w:sz w:val="19"/>
              </w:rPr>
              <w:t>Brisbane South East sites</w:t>
            </w:r>
          </w:p>
        </w:tc>
        <w:tc>
          <w:tcPr>
            <w:tcW w:w="1247" w:type="dxa"/>
            <w:shd w:val="clear" w:color="auto" w:fill="002B49"/>
          </w:tcPr>
          <w:p w14:paraId="6DC010AB">
            <w:pPr>
              <w:spacing w:before="40" w:after="40" w:line="240" w:lineRule="auto"/>
            </w:pPr>
            <w:r>
              <w:rPr>
                <w:b/>
                <w:color w:val="FFFFFF"/>
                <w:sz w:val="19"/>
              </w:rPr>
              <w:t>Phone</w:t>
            </w:r>
          </w:p>
        </w:tc>
        <w:tc>
          <w:tcPr>
            <w:tcW w:w="1928" w:type="dxa"/>
            <w:shd w:val="clear" w:color="auto" w:fill="002B49"/>
          </w:tcPr>
          <w:p w14:paraId="7DEDDB13">
            <w:pPr>
              <w:spacing w:before="40" w:after="40" w:line="240" w:lineRule="auto"/>
            </w:pPr>
            <w:r>
              <w:rPr>
                <w:b/>
                <w:color w:val="FFFFFF"/>
                <w:sz w:val="19"/>
              </w:rPr>
              <w:t>Website</w:t>
            </w:r>
          </w:p>
        </w:tc>
        <w:tc>
          <w:tcPr>
            <w:tcW w:w="1474" w:type="dxa"/>
            <w:shd w:val="clear" w:color="auto" w:fill="002B49"/>
          </w:tcPr>
          <w:p w14:paraId="2AAA4246">
            <w:pPr>
              <w:spacing w:before="40" w:after="40" w:line="240" w:lineRule="auto"/>
            </w:pPr>
            <w:r>
              <w:rPr>
                <w:b/>
                <w:color w:val="FFFFFF"/>
                <w:sz w:val="19"/>
              </w:rPr>
              <w:t>Status</w:t>
            </w:r>
          </w:p>
        </w:tc>
      </w:tr>
      <w:tr w14:paraId="05F7F7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40" w:type="dxa"/>
            <w:left w:w="80" w:type="dxa"/>
            <w:bottom w:w="40" w:type="dxa"/>
            <w:right w:w="80" w:type="dxa"/>
          </w:tblCellMar>
        </w:tblPrEx>
        <w:trPr>
          <w:jc w:val="center"/>
        </w:trPr>
        <w:tc>
          <w:tcPr>
            <w:tcW w:w="2381" w:type="dxa"/>
            <w:shd w:val="clear" w:color="auto" w:fill="F5F9FC"/>
          </w:tcPr>
          <w:p w14:paraId="2EBA4B4F">
            <w:pPr>
              <w:spacing w:before="40" w:after="40" w:line="240" w:lineRule="auto"/>
            </w:pPr>
            <w:r>
              <w:rPr>
                <w:sz w:val="19"/>
              </w:rPr>
              <w:t>The BUSY Group (BUSY Business)</w:t>
            </w:r>
          </w:p>
        </w:tc>
        <w:tc>
          <w:tcPr>
            <w:tcW w:w="2835" w:type="dxa"/>
          </w:tcPr>
          <w:p w14:paraId="58646609">
            <w:pPr>
              <w:spacing w:before="40" w:after="40" w:line="240" w:lineRule="auto"/>
            </w:pPr>
            <w:r>
              <w:rPr>
                <w:sz w:val="19"/>
              </w:rPr>
              <w:t>Slacks Creek (208 Kingston Road, 4127); Coopers Plains (Level 2, 28 Darlot Ave, 4108)</w:t>
            </w:r>
          </w:p>
        </w:tc>
        <w:tc>
          <w:tcPr>
            <w:tcW w:w="1247" w:type="dxa"/>
          </w:tcPr>
          <w:p w14:paraId="577E7AB9">
            <w:pPr>
              <w:spacing w:before="40" w:after="40" w:line="240" w:lineRule="auto"/>
            </w:pPr>
            <w:r>
              <w:rPr>
                <w:sz w:val="19"/>
              </w:rPr>
              <w:t>07 2141 4025</w:t>
            </w:r>
          </w:p>
        </w:tc>
        <w:tc>
          <w:tcPr>
            <w:tcW w:w="1928" w:type="dxa"/>
          </w:tcPr>
          <w:p w14:paraId="21AD11EB">
            <w:pPr>
              <w:spacing w:before="40" w:after="40" w:line="240" w:lineRule="auto"/>
            </w:pPr>
            <w:r>
              <w:fldChar w:fldCharType="begin"/>
            </w:r>
            <w:r>
              <w:instrText xml:space="preserve"> HYPERLINK "https://busybusiness.com.au" \h </w:instrText>
            </w:r>
            <w:r>
              <w:fldChar w:fldCharType="separate"/>
            </w:r>
            <w:r>
              <w:rPr>
                <w:rFonts w:ascii="Calibri" w:hAnsi="Calibri"/>
                <w:color w:val="0066CC"/>
                <w:sz w:val="19"/>
                <w:u w:val="single"/>
              </w:rPr>
              <w:t>https://busybusiness.com.au</w:t>
            </w:r>
            <w:r>
              <w:rPr>
                <w:rFonts w:ascii="Calibri" w:hAnsi="Calibri"/>
                <w:color w:val="0066CC"/>
                <w:sz w:val="19"/>
                <w:u w:val="single"/>
              </w:rPr>
              <w:fldChar w:fldCharType="end"/>
            </w:r>
          </w:p>
        </w:tc>
        <w:tc>
          <w:tcPr>
            <w:tcW w:w="1474" w:type="dxa"/>
          </w:tcPr>
          <w:p w14:paraId="03ED0DDE">
            <w:pPr>
              <w:spacing w:before="40" w:after="40" w:line="240" w:lineRule="auto"/>
            </w:pPr>
            <w:r>
              <w:rPr>
                <w:sz w:val="19"/>
              </w:rPr>
              <w:t>REQUIRES VERIFICATION</w:t>
            </w:r>
          </w:p>
        </w:tc>
      </w:tr>
      <w:tr w14:paraId="0E6520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40" w:type="dxa"/>
            <w:left w:w="80" w:type="dxa"/>
            <w:bottom w:w="40" w:type="dxa"/>
            <w:right w:w="80" w:type="dxa"/>
          </w:tblCellMar>
        </w:tblPrEx>
        <w:trPr>
          <w:jc w:val="center"/>
        </w:trPr>
        <w:tc>
          <w:tcPr>
            <w:tcW w:w="2381" w:type="dxa"/>
            <w:shd w:val="clear" w:color="auto" w:fill="F5F9FC"/>
          </w:tcPr>
          <w:p w14:paraId="67D97ED5">
            <w:pPr>
              <w:spacing w:before="40" w:after="40" w:line="240" w:lineRule="auto"/>
            </w:pPr>
            <w:r>
              <w:rPr>
                <w:sz w:val="19"/>
              </w:rPr>
              <w:t>APM Employment Services</w:t>
            </w:r>
          </w:p>
        </w:tc>
        <w:tc>
          <w:tcPr>
            <w:tcW w:w="2835" w:type="dxa"/>
          </w:tcPr>
          <w:p w14:paraId="7A2F696B">
            <w:pPr>
              <w:spacing w:before="40" w:after="40" w:line="240" w:lineRule="auto"/>
            </w:pPr>
            <w:r>
              <w:rPr>
                <w:sz w:val="19"/>
              </w:rPr>
              <w:t>Servicing Logan Central, Springwood and South Brisbane regional hubs</w:t>
            </w:r>
          </w:p>
        </w:tc>
        <w:tc>
          <w:tcPr>
            <w:tcW w:w="1247" w:type="dxa"/>
          </w:tcPr>
          <w:p w14:paraId="7541858E">
            <w:pPr>
              <w:spacing w:before="40" w:after="40" w:line="240" w:lineRule="auto"/>
            </w:pPr>
            <w:r>
              <w:rPr>
                <w:sz w:val="19"/>
              </w:rPr>
              <w:t>1300 006 347</w:t>
            </w:r>
          </w:p>
        </w:tc>
        <w:tc>
          <w:tcPr>
            <w:tcW w:w="1928" w:type="dxa"/>
          </w:tcPr>
          <w:p w14:paraId="5E5A8C86">
            <w:pPr>
              <w:spacing w:before="40" w:after="40" w:line="240" w:lineRule="auto"/>
            </w:pPr>
            <w:r>
              <w:fldChar w:fldCharType="begin"/>
            </w:r>
            <w:r>
              <w:instrText xml:space="preserve"> HYPERLINK "https://apm.net.au" \h </w:instrText>
            </w:r>
            <w:r>
              <w:fldChar w:fldCharType="separate"/>
            </w:r>
            <w:r>
              <w:rPr>
                <w:rFonts w:ascii="Calibri" w:hAnsi="Calibri"/>
                <w:color w:val="0066CC"/>
                <w:sz w:val="19"/>
                <w:u w:val="single"/>
              </w:rPr>
              <w:t>https://apm.net.au</w:t>
            </w:r>
            <w:r>
              <w:rPr>
                <w:rFonts w:ascii="Calibri" w:hAnsi="Calibri"/>
                <w:color w:val="0066CC"/>
                <w:sz w:val="19"/>
                <w:u w:val="single"/>
              </w:rPr>
              <w:fldChar w:fldCharType="end"/>
            </w:r>
          </w:p>
        </w:tc>
        <w:tc>
          <w:tcPr>
            <w:tcW w:w="1474" w:type="dxa"/>
          </w:tcPr>
          <w:p w14:paraId="6C1D3E3A">
            <w:pPr>
              <w:spacing w:before="40" w:after="40" w:line="240" w:lineRule="auto"/>
            </w:pPr>
            <w:r>
              <w:rPr>
                <w:sz w:val="19"/>
              </w:rPr>
              <w:t>REQUIRES VERIFICATION</w:t>
            </w:r>
          </w:p>
        </w:tc>
      </w:tr>
      <w:tr w14:paraId="1E1E60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40" w:type="dxa"/>
            <w:left w:w="80" w:type="dxa"/>
            <w:bottom w:w="40" w:type="dxa"/>
            <w:right w:w="80" w:type="dxa"/>
          </w:tblCellMar>
        </w:tblPrEx>
        <w:trPr>
          <w:jc w:val="center"/>
        </w:trPr>
        <w:tc>
          <w:tcPr>
            <w:tcW w:w="2381" w:type="dxa"/>
            <w:shd w:val="clear" w:color="auto" w:fill="F5F9FC"/>
          </w:tcPr>
          <w:p w14:paraId="49C637C9">
            <w:pPr>
              <w:spacing w:before="40" w:after="40" w:line="240" w:lineRule="auto"/>
            </w:pPr>
            <w:r>
              <w:rPr>
                <w:sz w:val="19"/>
              </w:rPr>
              <w:t>Asuria</w:t>
            </w:r>
          </w:p>
        </w:tc>
        <w:tc>
          <w:tcPr>
            <w:tcW w:w="2835" w:type="dxa"/>
          </w:tcPr>
          <w:p w14:paraId="0146D79B">
            <w:pPr>
              <w:spacing w:before="40" w:after="40" w:line="240" w:lineRule="auto"/>
            </w:pPr>
            <w:r>
              <w:rPr>
                <w:sz w:val="19"/>
              </w:rPr>
              <w:t>Servicing Logan, Springwood and the Brisbane South region</w:t>
            </w:r>
          </w:p>
        </w:tc>
        <w:tc>
          <w:tcPr>
            <w:tcW w:w="1247" w:type="dxa"/>
          </w:tcPr>
          <w:p w14:paraId="0452BC3B">
            <w:pPr>
              <w:spacing w:before="40" w:after="40" w:line="240" w:lineRule="auto"/>
            </w:pPr>
            <w:r>
              <w:rPr>
                <w:sz w:val="19"/>
              </w:rPr>
              <w:t>1800 773 338</w:t>
            </w:r>
          </w:p>
        </w:tc>
        <w:tc>
          <w:tcPr>
            <w:tcW w:w="1928" w:type="dxa"/>
          </w:tcPr>
          <w:p w14:paraId="46185DCC">
            <w:pPr>
              <w:spacing w:before="40" w:after="40" w:line="240" w:lineRule="auto"/>
            </w:pPr>
            <w:r>
              <w:fldChar w:fldCharType="begin"/>
            </w:r>
            <w:r>
              <w:instrText xml:space="preserve"> HYPERLINK "https://www.asuria.com.au" \h </w:instrText>
            </w:r>
            <w:r>
              <w:fldChar w:fldCharType="separate"/>
            </w:r>
            <w:r>
              <w:rPr>
                <w:rFonts w:ascii="Calibri" w:hAnsi="Calibri"/>
                <w:color w:val="0066CC"/>
                <w:sz w:val="19"/>
                <w:u w:val="single"/>
              </w:rPr>
              <w:t>https://www.asuria.com.au</w:t>
            </w:r>
            <w:r>
              <w:rPr>
                <w:rFonts w:ascii="Calibri" w:hAnsi="Calibri"/>
                <w:color w:val="0066CC"/>
                <w:sz w:val="19"/>
                <w:u w:val="single"/>
              </w:rPr>
              <w:fldChar w:fldCharType="end"/>
            </w:r>
          </w:p>
        </w:tc>
        <w:tc>
          <w:tcPr>
            <w:tcW w:w="1474" w:type="dxa"/>
          </w:tcPr>
          <w:p w14:paraId="2A1EE917">
            <w:pPr>
              <w:spacing w:before="40" w:after="40" w:line="240" w:lineRule="auto"/>
            </w:pPr>
            <w:r>
              <w:rPr>
                <w:sz w:val="19"/>
              </w:rPr>
              <w:t>REQUIRES VERIFICATION</w:t>
            </w:r>
          </w:p>
        </w:tc>
      </w:tr>
    </w:tbl>
    <w:p w14:paraId="105C4EFE">
      <w:pPr>
        <w:spacing w:before="0" w:after="120"/>
      </w:pPr>
      <w:r>
        <w:rPr>
          <w:b w:val="0"/>
          <w:i w:val="0"/>
          <w:sz w:val="21"/>
        </w:rPr>
        <w:t>Eligibility generally requires participants to be Australian citizens or permanent visa holders aged 15+, working or studying under 25 hours per week, with a viable business idea (Department of Employment and Workplace Relations guidelines). Costs are free (Australian Government funded) for eligible participants.</w:t>
      </w:r>
    </w:p>
    <w:p w14:paraId="46D4A155">
      <w:pPr>
        <w:spacing w:before="0" w:after="120"/>
      </w:pPr>
      <w:r>
        <w:rPr>
          <w:b w:val="0"/>
          <w:i w:val="0"/>
          <w:sz w:val="21"/>
        </w:rPr>
        <w:t>See ATTACHMENT D for the regional Workforce Australia provider summary.</w:t>
      </w:r>
    </w:p>
    <w:p w14:paraId="76B54E7A">
      <w:r>
        <w:br w:type="page"/>
      </w:r>
    </w:p>
    <w:p w14:paraId="66B76BC8">
      <w:pPr>
        <w:pStyle w:val="2"/>
      </w:pPr>
      <w:r>
        <w:rPr>
          <w:color w:val="002B49"/>
        </w:rPr>
        <w:t>6. Inclusive Employment Australia (IEA)</w:t>
      </w:r>
    </w:p>
    <w:p w14:paraId="77D5218B">
      <w:pPr>
        <w:spacing w:before="0" w:after="120"/>
      </w:pPr>
      <w:r>
        <w:rPr>
          <w:b w:val="0"/>
          <w:i w:val="0"/>
          <w:sz w:val="21"/>
        </w:rPr>
        <w:t>Inclusive Employment Australia (IEA) is the Australian Government specialist disability employment program that replaced Disability Employment Services (DES) on 1 November 2025. The program aims to provide tailored support to help people with disability, injury or health conditions to prepare for, find and keep meaningful work. It features personalised plans, flexible support intensity, and ongoing assistance for participants to build their careers.</w:t>
      </w:r>
    </w:p>
    <w:p w14:paraId="3091A3C3">
      <w:pPr>
        <w:spacing w:before="0" w:after="120"/>
      </w:pPr>
      <w:r>
        <w:rPr>
          <w:b w:val="0"/>
          <w:i w:val="0"/>
          <w:sz w:val="21"/>
        </w:rPr>
        <w:t>More people now have access to the IEA program, including people with an assessed work capacity of less than 8 hours per week and voluntary participants not getting a Centrelink income support payment. There is no longer a two-year limit on the time people can stay in the program.</w:t>
      </w:r>
    </w:p>
    <w:p w14:paraId="14632E4D">
      <w:pPr>
        <w:pStyle w:val="23"/>
        <w:spacing w:before="0" w:after="40"/>
      </w:pPr>
      <w:r>
        <w:rPr>
          <w:b w:val="0"/>
          <w:i w:val="0"/>
          <w:sz w:val="21"/>
        </w:rPr>
        <w:t>Participants can choose their own provider and move to a new provider at any time.</w:t>
      </w:r>
    </w:p>
    <w:p w14:paraId="49C1221F">
      <w:pPr>
        <w:pStyle w:val="23"/>
        <w:spacing w:before="0" w:after="40"/>
      </w:pPr>
      <w:r>
        <w:rPr>
          <w:b w:val="0"/>
          <w:i w:val="0"/>
          <w:sz w:val="21"/>
        </w:rPr>
        <w:t>Participants do not need to get government payments to be in the program.</w:t>
      </w:r>
    </w:p>
    <w:p w14:paraId="384BF659">
      <w:pPr>
        <w:pStyle w:val="23"/>
        <w:spacing w:before="0" w:after="40"/>
      </w:pPr>
      <w:r>
        <w:rPr>
          <w:b w:val="0"/>
          <w:i w:val="0"/>
          <w:sz w:val="21"/>
        </w:rPr>
        <w:t>There are more providers skilled in working with people with different disabilities or from diverse backgrounds.</w:t>
      </w:r>
    </w:p>
    <w:p w14:paraId="2272B1C1">
      <w:pPr>
        <w:pStyle w:val="23"/>
        <w:spacing w:before="0" w:after="40"/>
      </w:pPr>
      <w:r>
        <w:rPr>
          <w:b w:val="0"/>
          <w:i w:val="0"/>
          <w:sz w:val="21"/>
        </w:rPr>
        <w:t>No time limits for servicing — participants can stay with their provider for as long as they need.</w:t>
      </w:r>
    </w:p>
    <w:p w14:paraId="6887E7DD">
      <w:pPr>
        <w:spacing w:before="0" w:after="120"/>
      </w:pPr>
      <w:r>
        <w:rPr>
          <w:b w:val="0"/>
          <w:i w:val="0"/>
          <w:sz w:val="21"/>
        </w:rPr>
        <w:t>This Commonwealth contract is managed by the Department of Social Services (DSS).</w:t>
      </w:r>
    </w:p>
    <w:p w14:paraId="41CD7E65">
      <w:pPr>
        <w:pStyle w:val="3"/>
      </w:pPr>
      <w:r>
        <w:rPr>
          <w:color w:val="0066CC"/>
        </w:rPr>
        <w:t>6.1 Services</w:t>
      </w:r>
    </w:p>
    <w:p w14:paraId="150A234D">
      <w:pPr>
        <w:spacing w:before="0" w:after="120"/>
      </w:pPr>
      <w:r>
        <w:rPr>
          <w:b w:val="0"/>
          <w:i w:val="0"/>
          <w:sz w:val="21"/>
        </w:rPr>
        <w:t>The services provided by IEA providers consist of one or a combination of the following:</w:t>
      </w:r>
    </w:p>
    <w:p w14:paraId="1099A855">
      <w:pPr>
        <w:pStyle w:val="23"/>
        <w:spacing w:before="0" w:after="40"/>
      </w:pPr>
      <w:r>
        <w:rPr>
          <w:b w:val="0"/>
          <w:i w:val="0"/>
          <w:sz w:val="21"/>
        </w:rPr>
        <w:t>Pre-employment support services, comprising Intensive Services (for participants who can actively engage in a full range of services, supports and activities to help them prepare for and find work) — with a Work Preparation phase and a Job Search phase — or Flexible Services (for participants engaged in work and/or activities, or otherwise not able to participate in the Intensive Service due to personal or family circumstances).</w:t>
      </w:r>
    </w:p>
    <w:p w14:paraId="4613839C">
      <w:pPr>
        <w:pStyle w:val="23"/>
        <w:spacing w:before="0" w:after="40"/>
      </w:pPr>
      <w:r>
        <w:rPr>
          <w:b w:val="0"/>
          <w:i w:val="0"/>
          <w:sz w:val="21"/>
        </w:rPr>
        <w:t>In-employment support services, comprising Post Placement Support (for participants who have started employment, including apprenticeships and traineeships, or self-employment, and are progressing towards an employment outcome) and Ongoing Support (for post-placement support participants who require ongoing support to maintain employment after a 26-week employment outcome, and for eligible Ongoing Support (Work Assist) participants).</w:t>
      </w:r>
    </w:p>
    <w:p w14:paraId="62F637A5">
      <w:pPr>
        <w:spacing w:before="0" w:after="120"/>
      </w:pPr>
      <w:r>
        <w:rPr>
          <w:b w:val="0"/>
          <w:i w:val="0"/>
          <w:sz w:val="21"/>
        </w:rPr>
        <w:t>Providers must assist participants to build their work capacity and actively look for work, and should focus on participant-led services that achieve greater social and economic inclusion for people with disability.</w:t>
      </w:r>
    </w:p>
    <w:p w14:paraId="7CBA032E">
      <w:pPr>
        <w:pStyle w:val="3"/>
      </w:pPr>
      <w:r>
        <w:rPr>
          <w:color w:val="0066CC"/>
        </w:rPr>
        <w:t>6.2 Providers</w:t>
      </w:r>
    </w:p>
    <w:p w14:paraId="0B1F6841">
      <w:pPr>
        <w:spacing w:before="0" w:after="120"/>
      </w:pPr>
      <w:r>
        <w:rPr>
          <w:b w:val="0"/>
          <w:i w:val="0"/>
          <w:sz w:val="21"/>
        </w:rPr>
        <w:t>Services are offered by Specific Cohort providers and All Cohorts providers. A Specific Cohort provider is contracted to assist participants with particular characteristics (for example, Aboriginal and/or Torres Strait Islander people, youth) and/or disability type (for example, intellectual disability, autism). All Cohorts providers may assist any participants, regardless of the nature of their disability, injury or health condition.</w:t>
      </w:r>
    </w:p>
    <w:p w14:paraId="28D38F1E">
      <w:pPr>
        <w:spacing w:before="0" w:after="120"/>
      </w:pPr>
      <w:r>
        <w:rPr>
          <w:b w:val="0"/>
          <w:i w:val="0"/>
          <w:sz w:val="21"/>
        </w:rPr>
        <w:t>Participants accessing IEA have a choice of provider, considering where they live and which program providers are delivering in their area, including any relevant Specific Cohort providers. If the participant does not choose a provider, one will be chosen for them.</w:t>
      </w:r>
    </w:p>
    <w:p w14:paraId="41CCFAFF">
      <w:pPr>
        <w:pStyle w:val="3"/>
      </w:pPr>
      <w:r>
        <w:rPr>
          <w:color w:val="0066CC"/>
        </w:rPr>
        <w:t>6.3 Direct Registration of Participants without a Referral</w:t>
      </w:r>
    </w:p>
    <w:p w14:paraId="7166DBAC">
      <w:pPr>
        <w:spacing w:before="0" w:after="120"/>
      </w:pPr>
      <w:r>
        <w:rPr>
          <w:b w:val="0"/>
          <w:i w:val="0"/>
          <w:sz w:val="21"/>
        </w:rPr>
        <w:t>If a potential participant presents to the provider without a referral, the provider must confirm that the potential participant is not currently being assisted by the provider or another program provider, another employment service (such as Workforce Australia or Transition to Work), the Remote Jobs and Economic Development Program or the Community Development Program; is identified on the Department's IT systems; and meets the eligibility requirements for IEA. If confirmed, the provider can directly register the participant and confirm that the participant has a valid ESAt or JCA, in accordance with the guidelines.</w:t>
      </w:r>
    </w:p>
    <w:p w14:paraId="2BE4929A">
      <w:pPr>
        <w:pStyle w:val="3"/>
      </w:pPr>
      <w:r>
        <w:rPr>
          <w:color w:val="0066CC"/>
        </w:rPr>
        <w:t>6.4 Provider Locations</w:t>
      </w:r>
    </w:p>
    <w:p w14:paraId="74599796">
      <w:pPr>
        <w:spacing w:before="0" w:after="120"/>
      </w:pPr>
      <w:r>
        <w:rPr>
          <w:b w:val="0"/>
          <w:i w:val="0"/>
          <w:sz w:val="21"/>
        </w:rPr>
        <w:t>Participants do not need to have an IEA provider close to where they live, but the list of providers by state and territory helps find a provider near them. Each provider's Employment Service Area (ESA) is listed next to provider names and locations. Providers in the region can be found via the Department of Social Services' provider lists and the Job Access website.</w:t>
      </w:r>
    </w:p>
    <w:p w14:paraId="135C5500">
      <w:pPr>
        <w:pStyle w:val="3"/>
      </w:pPr>
      <w:r>
        <w:rPr>
          <w:color w:val="0066CC"/>
        </w:rPr>
        <w:t>6.5 Participant Privacy and Consent</w:t>
      </w:r>
    </w:p>
    <w:p w14:paraId="0F7625F4">
      <w:pPr>
        <w:spacing w:before="0" w:after="120"/>
      </w:pPr>
      <w:r>
        <w:rPr>
          <w:b w:val="0"/>
          <w:i w:val="0"/>
          <w:sz w:val="21"/>
        </w:rPr>
        <w:t>Participant's personal and sensitive information provided to Services Australia/DSS is used to refer them to an IEA provider. Participants need to let Services Australia/DSS know if they do not wish for their information to be shared. An IEA provider will ask participants to sign a Privacy Consent Form; by signing it, participants agree to allow their provider to contact and share their information with potential employers and community support organisations. Participants can change their mind and withdraw consent at any time. Personal information is protected under the Privacy Act 1988 (Cth).</w:t>
      </w:r>
    </w:p>
    <w:p w14:paraId="226C05DB">
      <w:pPr>
        <w:pStyle w:val="3"/>
      </w:pPr>
      <w:r>
        <w:rPr>
          <w:color w:val="0066CC"/>
        </w:rPr>
        <w:t>6.6 Complaints Resolution and Referral Service</w:t>
      </w:r>
    </w:p>
    <w:p w14:paraId="6DA5AA03">
      <w:pPr>
        <w:spacing w:before="0" w:after="120"/>
      </w:pPr>
      <w:r>
        <w:rPr>
          <w:b w:val="0"/>
          <w:i w:val="0"/>
          <w:sz w:val="21"/>
        </w:rPr>
        <w:t>The Complaints Resolution and Referral Service is available to discuss any concerns about an IEA provider. Email: crrs@glresolution.au; Call 1800 880 052 (free call). The service handles complaints from service users within 24 months of an alleged incident. Further information is available on the Job Access website and the DSS Inclusive Employment Australia pages.</w:t>
      </w:r>
    </w:p>
    <w:p w14:paraId="5030CE95">
      <w:pPr>
        <w:pStyle w:val="3"/>
      </w:pPr>
      <w:r>
        <w:rPr>
          <w:color w:val="0066CC"/>
        </w:rPr>
        <w:t>6.7 Inclusive Employment Australia Providers in the Brisbane South East Region</w:t>
      </w:r>
    </w:p>
    <w:p w14:paraId="7E44157F">
      <w:pPr>
        <w:spacing w:before="0" w:after="120"/>
      </w:pPr>
      <w:r>
        <w:rPr>
          <w:b w:val="0"/>
          <w:i w:val="0"/>
          <w:sz w:val="21"/>
        </w:rPr>
        <w:t>The following IEA providers were identified in the Brisbane South East environmental scan. Confirm current service areas and contracts directly with providers or via the DSS provider lists before referral.</w:t>
      </w:r>
    </w:p>
    <w:p w14:paraId="294499F9">
      <w:pPr>
        <w:pStyle w:val="4"/>
      </w:pPr>
      <w:r>
        <w:rPr>
          <w:color w:val="002B49"/>
        </w:rPr>
        <w:t>Endeavour Foundation — IEA</w:t>
      </w:r>
    </w:p>
    <w:tbl>
      <w:tblPr>
        <w:tblStyle w:val="3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30" w:type="dxa"/>
          <w:left w:w="80" w:type="dxa"/>
          <w:bottom w:w="30" w:type="dxa"/>
          <w:right w:w="80" w:type="dxa"/>
        </w:tblCellMar>
      </w:tblPr>
      <w:tblGrid>
        <w:gridCol w:w="4819"/>
        <w:gridCol w:w="4819"/>
      </w:tblGrid>
      <w:tr w14:paraId="221020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30" w:type="dxa"/>
            <w:left w:w="80" w:type="dxa"/>
            <w:bottom w:w="30" w:type="dxa"/>
            <w:right w:w="80" w:type="dxa"/>
          </w:tblCellMar>
        </w:tblPrEx>
        <w:tc>
          <w:tcPr>
            <w:tcW w:w="2494" w:type="dxa"/>
            <w:shd w:val="clear" w:color="auto" w:fill="E8F4FD"/>
          </w:tcPr>
          <w:p w14:paraId="482C5FA4">
            <w:pPr>
              <w:spacing w:before="20" w:after="20" w:line="240" w:lineRule="auto"/>
            </w:pPr>
            <w:r>
              <w:rPr>
                <w:b/>
                <w:color w:val="002B49"/>
                <w:sz w:val="19"/>
              </w:rPr>
              <w:t>Organisation</w:t>
            </w:r>
          </w:p>
        </w:tc>
        <w:tc>
          <w:tcPr>
            <w:tcW w:w="7143" w:type="dxa"/>
          </w:tcPr>
          <w:p w14:paraId="500A3C94">
            <w:pPr>
              <w:spacing w:before="20" w:after="20" w:line="240" w:lineRule="auto"/>
            </w:pPr>
            <w:r>
              <w:rPr>
                <w:sz w:val="19"/>
              </w:rPr>
              <w:t>Endeavour Foundation</w:t>
            </w:r>
          </w:p>
        </w:tc>
      </w:tr>
      <w:tr w14:paraId="52510B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30" w:type="dxa"/>
            <w:left w:w="80" w:type="dxa"/>
            <w:bottom w:w="30" w:type="dxa"/>
            <w:right w:w="80" w:type="dxa"/>
          </w:tblCellMar>
        </w:tblPrEx>
        <w:tc>
          <w:tcPr>
            <w:tcW w:w="2494" w:type="dxa"/>
            <w:shd w:val="clear" w:color="auto" w:fill="E8F4FD"/>
          </w:tcPr>
          <w:p w14:paraId="56F469F7">
            <w:pPr>
              <w:spacing w:before="20" w:after="20" w:line="240" w:lineRule="auto"/>
            </w:pPr>
            <w:r>
              <w:rPr>
                <w:b/>
                <w:color w:val="002B49"/>
                <w:sz w:val="19"/>
              </w:rPr>
              <w:t>Program / Service</w:t>
            </w:r>
          </w:p>
        </w:tc>
        <w:tc>
          <w:tcPr>
            <w:tcW w:w="7143" w:type="dxa"/>
          </w:tcPr>
          <w:p w14:paraId="12BBB2E5">
            <w:pPr>
              <w:spacing w:before="20" w:after="20" w:line="240" w:lineRule="auto"/>
            </w:pPr>
            <w:r>
              <w:rPr>
                <w:sz w:val="19"/>
              </w:rPr>
              <w:t>Inclusive Employment Australia (IEA) — intellectual and developmental disability specialist</w:t>
            </w:r>
          </w:p>
        </w:tc>
      </w:tr>
      <w:tr w14:paraId="6080B9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30" w:type="dxa"/>
            <w:left w:w="80" w:type="dxa"/>
            <w:bottom w:w="30" w:type="dxa"/>
            <w:right w:w="80" w:type="dxa"/>
          </w:tblCellMar>
        </w:tblPrEx>
        <w:tc>
          <w:tcPr>
            <w:tcW w:w="2494" w:type="dxa"/>
            <w:shd w:val="clear" w:color="auto" w:fill="E8F4FD"/>
          </w:tcPr>
          <w:p w14:paraId="3429FA8D">
            <w:pPr>
              <w:spacing w:before="20" w:after="20" w:line="240" w:lineRule="auto"/>
            </w:pPr>
            <w:r>
              <w:rPr>
                <w:b/>
                <w:color w:val="002B49"/>
                <w:sz w:val="19"/>
              </w:rPr>
              <w:t>Service Description</w:t>
            </w:r>
          </w:p>
        </w:tc>
        <w:tc>
          <w:tcPr>
            <w:tcW w:w="7143" w:type="dxa"/>
          </w:tcPr>
          <w:p w14:paraId="06A1AB41">
            <w:pPr>
              <w:spacing w:before="20" w:after="20" w:line="240" w:lineRule="auto"/>
            </w:pPr>
            <w:r>
              <w:rPr>
                <w:sz w:val="19"/>
              </w:rPr>
              <w:t>Specialised job matching, on-the-job coaching, workplace modification support and post-placement ongoing employment assistance.</w:t>
            </w:r>
          </w:p>
        </w:tc>
      </w:tr>
      <w:tr w14:paraId="02CDDC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30" w:type="dxa"/>
            <w:left w:w="80" w:type="dxa"/>
            <w:bottom w:w="30" w:type="dxa"/>
            <w:right w:w="80" w:type="dxa"/>
          </w:tblCellMar>
        </w:tblPrEx>
        <w:tc>
          <w:tcPr>
            <w:tcW w:w="2494" w:type="dxa"/>
            <w:shd w:val="clear" w:color="auto" w:fill="E8F4FD"/>
          </w:tcPr>
          <w:p w14:paraId="3675461F">
            <w:pPr>
              <w:spacing w:before="20" w:after="20" w:line="240" w:lineRule="auto"/>
            </w:pPr>
            <w:r>
              <w:rPr>
                <w:b/>
                <w:color w:val="002B49"/>
                <w:sz w:val="19"/>
              </w:rPr>
              <w:t>Who They Support</w:t>
            </w:r>
          </w:p>
        </w:tc>
        <w:tc>
          <w:tcPr>
            <w:tcW w:w="7143" w:type="dxa"/>
          </w:tcPr>
          <w:p w14:paraId="77E09B58">
            <w:pPr>
              <w:spacing w:before="20" w:after="20" w:line="240" w:lineRule="auto"/>
            </w:pPr>
            <w:r>
              <w:rPr>
                <w:sz w:val="19"/>
              </w:rPr>
              <w:t>Job seekers with intellectual disability, autism or developmental conditions</w:t>
            </w:r>
          </w:p>
        </w:tc>
      </w:tr>
      <w:tr w14:paraId="0ED4F2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30" w:type="dxa"/>
            <w:left w:w="80" w:type="dxa"/>
            <w:bottom w:w="30" w:type="dxa"/>
            <w:right w:w="80" w:type="dxa"/>
          </w:tblCellMar>
        </w:tblPrEx>
        <w:tc>
          <w:tcPr>
            <w:tcW w:w="2494" w:type="dxa"/>
            <w:shd w:val="clear" w:color="auto" w:fill="E8F4FD"/>
          </w:tcPr>
          <w:p w14:paraId="014C54E5">
            <w:pPr>
              <w:spacing w:before="20" w:after="20" w:line="240" w:lineRule="auto"/>
            </w:pPr>
            <w:r>
              <w:rPr>
                <w:b/>
                <w:color w:val="002B49"/>
                <w:sz w:val="19"/>
              </w:rPr>
              <w:t>Eligibility</w:t>
            </w:r>
          </w:p>
        </w:tc>
        <w:tc>
          <w:tcPr>
            <w:tcW w:w="7143" w:type="dxa"/>
          </w:tcPr>
          <w:p w14:paraId="5DD26300">
            <w:pPr>
              <w:spacing w:before="20" w:after="20" w:line="240" w:lineRule="auto"/>
            </w:pPr>
            <w:r>
              <w:rPr>
                <w:sz w:val="19"/>
              </w:rPr>
              <w:t>Australian residents aged 14 to pension age with a diagnosed disability or health condition</w:t>
            </w:r>
          </w:p>
        </w:tc>
      </w:tr>
      <w:tr w14:paraId="163514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30" w:type="dxa"/>
            <w:left w:w="80" w:type="dxa"/>
            <w:bottom w:w="30" w:type="dxa"/>
            <w:right w:w="80" w:type="dxa"/>
          </w:tblCellMar>
        </w:tblPrEx>
        <w:tc>
          <w:tcPr>
            <w:tcW w:w="2494" w:type="dxa"/>
            <w:shd w:val="clear" w:color="auto" w:fill="E8F4FD"/>
          </w:tcPr>
          <w:p w14:paraId="00362D6F">
            <w:pPr>
              <w:spacing w:before="20" w:after="20" w:line="240" w:lineRule="auto"/>
            </w:pPr>
            <w:r>
              <w:rPr>
                <w:b/>
                <w:color w:val="002B49"/>
                <w:sz w:val="19"/>
              </w:rPr>
              <w:t>Location / Coverage</w:t>
            </w:r>
          </w:p>
        </w:tc>
        <w:tc>
          <w:tcPr>
            <w:tcW w:w="7143" w:type="dxa"/>
          </w:tcPr>
          <w:p w14:paraId="67B73451">
            <w:pPr>
              <w:spacing w:before="20" w:after="20" w:line="240" w:lineRule="auto"/>
            </w:pPr>
            <w:r>
              <w:rPr>
                <w:sz w:val="19"/>
              </w:rPr>
              <w:t>Darra (G.15/1 Westlink Court, Darra QLD 4076), Bowen Hills and South Brisbane sites (scan-recorded)</w:t>
            </w:r>
          </w:p>
        </w:tc>
      </w:tr>
      <w:tr w14:paraId="60F585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30" w:type="dxa"/>
            <w:left w:w="80" w:type="dxa"/>
            <w:bottom w:w="30" w:type="dxa"/>
            <w:right w:w="80" w:type="dxa"/>
          </w:tblCellMar>
        </w:tblPrEx>
        <w:tc>
          <w:tcPr>
            <w:tcW w:w="2494" w:type="dxa"/>
            <w:shd w:val="clear" w:color="auto" w:fill="E8F4FD"/>
          </w:tcPr>
          <w:p w14:paraId="7A91B802">
            <w:pPr>
              <w:spacing w:before="20" w:after="20" w:line="240" w:lineRule="auto"/>
            </w:pPr>
            <w:r>
              <w:rPr>
                <w:b/>
                <w:color w:val="002B49"/>
                <w:sz w:val="19"/>
              </w:rPr>
              <w:t>Phone</w:t>
            </w:r>
          </w:p>
        </w:tc>
        <w:tc>
          <w:tcPr>
            <w:tcW w:w="7143" w:type="dxa"/>
          </w:tcPr>
          <w:p w14:paraId="79CA13B8">
            <w:pPr>
              <w:spacing w:before="20" w:after="20" w:line="240" w:lineRule="auto"/>
            </w:pPr>
            <w:r>
              <w:rPr>
                <w:sz w:val="19"/>
              </w:rPr>
              <w:t>1800 112 112</w:t>
            </w:r>
          </w:p>
        </w:tc>
      </w:tr>
      <w:tr w14:paraId="6CA370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30" w:type="dxa"/>
            <w:left w:w="80" w:type="dxa"/>
            <w:bottom w:w="30" w:type="dxa"/>
            <w:right w:w="80" w:type="dxa"/>
          </w:tblCellMar>
        </w:tblPrEx>
        <w:tc>
          <w:tcPr>
            <w:tcW w:w="2494" w:type="dxa"/>
            <w:shd w:val="clear" w:color="auto" w:fill="E8F4FD"/>
          </w:tcPr>
          <w:p w14:paraId="355478DA">
            <w:pPr>
              <w:spacing w:before="20" w:after="20" w:line="240" w:lineRule="auto"/>
            </w:pPr>
            <w:r>
              <w:rPr>
                <w:b/>
                <w:color w:val="002B49"/>
                <w:sz w:val="19"/>
              </w:rPr>
              <w:t>Email</w:t>
            </w:r>
          </w:p>
        </w:tc>
        <w:tc>
          <w:tcPr>
            <w:tcW w:w="7143" w:type="dxa"/>
          </w:tcPr>
          <w:p w14:paraId="7EB25710">
            <w:pPr>
              <w:spacing w:before="20" w:after="20" w:line="240" w:lineRule="auto"/>
            </w:pPr>
            <w:r>
              <w:rPr>
                <w:sz w:val="19"/>
              </w:rPr>
              <w:t>hello@endeavour.com.au</w:t>
            </w:r>
          </w:p>
        </w:tc>
      </w:tr>
      <w:tr w14:paraId="03D2F2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30" w:type="dxa"/>
            <w:left w:w="80" w:type="dxa"/>
            <w:bottom w:w="30" w:type="dxa"/>
            <w:right w:w="80" w:type="dxa"/>
          </w:tblCellMar>
        </w:tblPrEx>
        <w:tc>
          <w:tcPr>
            <w:tcW w:w="2494" w:type="dxa"/>
            <w:shd w:val="clear" w:color="auto" w:fill="E8F4FD"/>
          </w:tcPr>
          <w:p w14:paraId="3A7CEE46">
            <w:pPr>
              <w:spacing w:before="20" w:after="20" w:line="240" w:lineRule="auto"/>
            </w:pPr>
            <w:r>
              <w:rPr>
                <w:b/>
                <w:color w:val="002B49"/>
                <w:sz w:val="19"/>
              </w:rPr>
              <w:t>Website</w:t>
            </w:r>
          </w:p>
        </w:tc>
        <w:tc>
          <w:tcPr>
            <w:tcW w:w="7143" w:type="dxa"/>
          </w:tcPr>
          <w:p w14:paraId="47FDD076">
            <w:pPr>
              <w:spacing w:before="20" w:after="20" w:line="240" w:lineRule="auto"/>
            </w:pPr>
            <w:r>
              <w:fldChar w:fldCharType="begin"/>
            </w:r>
            <w:r>
              <w:instrText xml:space="preserve"> HYPERLINK "https://www.endeavour.com.au" \h </w:instrText>
            </w:r>
            <w:r>
              <w:fldChar w:fldCharType="separate"/>
            </w:r>
            <w:r>
              <w:rPr>
                <w:rFonts w:ascii="Calibri" w:hAnsi="Calibri"/>
                <w:color w:val="0066CC"/>
                <w:sz w:val="19"/>
                <w:u w:val="single"/>
              </w:rPr>
              <w:t>https://www.endeavour.com.au</w:t>
            </w:r>
            <w:r>
              <w:rPr>
                <w:rFonts w:ascii="Calibri" w:hAnsi="Calibri"/>
                <w:color w:val="0066CC"/>
                <w:sz w:val="19"/>
                <w:u w:val="single"/>
              </w:rPr>
              <w:fldChar w:fldCharType="end"/>
            </w:r>
          </w:p>
        </w:tc>
      </w:tr>
      <w:tr w14:paraId="4DD526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30" w:type="dxa"/>
            <w:left w:w="80" w:type="dxa"/>
            <w:bottom w:w="30" w:type="dxa"/>
            <w:right w:w="80" w:type="dxa"/>
          </w:tblCellMar>
        </w:tblPrEx>
        <w:tc>
          <w:tcPr>
            <w:tcW w:w="2494" w:type="dxa"/>
            <w:shd w:val="clear" w:color="auto" w:fill="E8F4FD"/>
          </w:tcPr>
          <w:p w14:paraId="0DB1C149">
            <w:pPr>
              <w:spacing w:before="20" w:after="20" w:line="240" w:lineRule="auto"/>
            </w:pPr>
            <w:r>
              <w:rPr>
                <w:b/>
                <w:color w:val="002B49"/>
                <w:sz w:val="19"/>
              </w:rPr>
              <w:t>Referral / Intake</w:t>
            </w:r>
          </w:p>
        </w:tc>
        <w:tc>
          <w:tcPr>
            <w:tcW w:w="7143" w:type="dxa"/>
          </w:tcPr>
          <w:p w14:paraId="38749325">
            <w:pPr>
              <w:spacing w:before="20" w:after="20" w:line="240" w:lineRule="auto"/>
            </w:pPr>
            <w:r>
              <w:rPr>
                <w:sz w:val="19"/>
              </w:rPr>
              <w:t>Direct contact via phone/website, or referral through a Services Australia (Centrelink) ESAt assessment</w:t>
            </w:r>
          </w:p>
        </w:tc>
      </w:tr>
      <w:tr w14:paraId="501378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30" w:type="dxa"/>
            <w:left w:w="80" w:type="dxa"/>
            <w:bottom w:w="30" w:type="dxa"/>
            <w:right w:w="80" w:type="dxa"/>
          </w:tblCellMar>
        </w:tblPrEx>
        <w:tc>
          <w:tcPr>
            <w:tcW w:w="2494" w:type="dxa"/>
            <w:shd w:val="clear" w:color="auto" w:fill="E8F4FD"/>
          </w:tcPr>
          <w:p w14:paraId="4D2700E8">
            <w:pPr>
              <w:spacing w:before="20" w:after="20" w:line="240" w:lineRule="auto"/>
            </w:pPr>
            <w:r>
              <w:rPr>
                <w:b/>
                <w:color w:val="002B49"/>
                <w:sz w:val="19"/>
              </w:rPr>
              <w:t>Verification Status</w:t>
            </w:r>
          </w:p>
        </w:tc>
        <w:tc>
          <w:tcPr>
            <w:tcW w:w="7143" w:type="dxa"/>
          </w:tcPr>
          <w:p w14:paraId="00EB0C00">
            <w:pPr>
              <w:spacing w:before="20" w:after="20" w:line="240" w:lineRule="auto"/>
            </w:pPr>
            <w:r>
              <w:rPr>
                <w:sz w:val="19"/>
              </w:rPr>
              <w:t>REQUIRES VERIFICATION — environmental scan record from official provider pages.</w:t>
            </w:r>
          </w:p>
        </w:tc>
      </w:tr>
    </w:tbl>
    <w:p w14:paraId="1C9B4E07">
      <w:pPr>
        <w:pStyle w:val="4"/>
      </w:pPr>
      <w:r>
        <w:rPr>
          <w:color w:val="002B49"/>
        </w:rPr>
        <w:t>Breakthru — IEA</w:t>
      </w:r>
    </w:p>
    <w:tbl>
      <w:tblPr>
        <w:tblStyle w:val="3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30" w:type="dxa"/>
          <w:left w:w="80" w:type="dxa"/>
          <w:bottom w:w="30" w:type="dxa"/>
          <w:right w:w="80" w:type="dxa"/>
        </w:tblCellMar>
      </w:tblPr>
      <w:tblGrid>
        <w:gridCol w:w="4819"/>
        <w:gridCol w:w="4819"/>
      </w:tblGrid>
      <w:tr w14:paraId="74E90E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30" w:type="dxa"/>
            <w:left w:w="80" w:type="dxa"/>
            <w:bottom w:w="30" w:type="dxa"/>
            <w:right w:w="80" w:type="dxa"/>
          </w:tblCellMar>
        </w:tblPrEx>
        <w:tc>
          <w:tcPr>
            <w:tcW w:w="2494" w:type="dxa"/>
            <w:shd w:val="clear" w:color="auto" w:fill="E8F4FD"/>
          </w:tcPr>
          <w:p w14:paraId="13E6DAF3">
            <w:pPr>
              <w:spacing w:before="20" w:after="20" w:line="240" w:lineRule="auto"/>
            </w:pPr>
            <w:r>
              <w:rPr>
                <w:b/>
                <w:color w:val="002B49"/>
                <w:sz w:val="19"/>
              </w:rPr>
              <w:t>Organisation</w:t>
            </w:r>
          </w:p>
        </w:tc>
        <w:tc>
          <w:tcPr>
            <w:tcW w:w="7143" w:type="dxa"/>
          </w:tcPr>
          <w:p w14:paraId="31127720">
            <w:pPr>
              <w:spacing w:before="20" w:after="20" w:line="240" w:lineRule="auto"/>
            </w:pPr>
            <w:r>
              <w:rPr>
                <w:sz w:val="19"/>
              </w:rPr>
              <w:t>Breakthru Enterprises Pty Ltd (Breakthru)</w:t>
            </w:r>
          </w:p>
        </w:tc>
      </w:tr>
      <w:tr w14:paraId="130502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30" w:type="dxa"/>
            <w:left w:w="80" w:type="dxa"/>
            <w:bottom w:w="30" w:type="dxa"/>
            <w:right w:w="80" w:type="dxa"/>
          </w:tblCellMar>
        </w:tblPrEx>
        <w:tc>
          <w:tcPr>
            <w:tcW w:w="2494" w:type="dxa"/>
            <w:shd w:val="clear" w:color="auto" w:fill="E8F4FD"/>
          </w:tcPr>
          <w:p w14:paraId="0458B252">
            <w:pPr>
              <w:spacing w:before="20" w:after="20" w:line="240" w:lineRule="auto"/>
            </w:pPr>
            <w:r>
              <w:rPr>
                <w:b/>
                <w:color w:val="002B49"/>
                <w:sz w:val="19"/>
              </w:rPr>
              <w:t>Program / Service</w:t>
            </w:r>
          </w:p>
        </w:tc>
        <w:tc>
          <w:tcPr>
            <w:tcW w:w="7143" w:type="dxa"/>
          </w:tcPr>
          <w:p w14:paraId="01DB1BCD">
            <w:pPr>
              <w:spacing w:before="20" w:after="20" w:line="240" w:lineRule="auto"/>
            </w:pPr>
            <w:r>
              <w:rPr>
                <w:sz w:val="19"/>
              </w:rPr>
              <w:t>Inclusive Employment Australia (IEA) — general disability and mental health employment support</w:t>
            </w:r>
          </w:p>
        </w:tc>
      </w:tr>
      <w:tr w14:paraId="54AADA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30" w:type="dxa"/>
            <w:left w:w="80" w:type="dxa"/>
            <w:bottom w:w="30" w:type="dxa"/>
            <w:right w:w="80" w:type="dxa"/>
          </w:tblCellMar>
        </w:tblPrEx>
        <w:tc>
          <w:tcPr>
            <w:tcW w:w="2494" w:type="dxa"/>
            <w:shd w:val="clear" w:color="auto" w:fill="E8F4FD"/>
          </w:tcPr>
          <w:p w14:paraId="50B6FB73">
            <w:pPr>
              <w:spacing w:before="20" w:after="20" w:line="240" w:lineRule="auto"/>
            </w:pPr>
            <w:r>
              <w:rPr>
                <w:b/>
                <w:color w:val="002B49"/>
                <w:sz w:val="19"/>
              </w:rPr>
              <w:t>Service Description</w:t>
            </w:r>
          </w:p>
        </w:tc>
        <w:tc>
          <w:tcPr>
            <w:tcW w:w="7143" w:type="dxa"/>
          </w:tcPr>
          <w:p w14:paraId="44A2D60E">
            <w:pPr>
              <w:spacing w:before="20" w:after="20" w:line="240" w:lineRule="auto"/>
            </w:pPr>
            <w:r>
              <w:rPr>
                <w:sz w:val="19"/>
              </w:rPr>
              <w:t>Individualised career coaching, mental health transition support, job trials, customised job design and long-term workplace mentoring.</w:t>
            </w:r>
          </w:p>
        </w:tc>
      </w:tr>
      <w:tr w14:paraId="75E8DF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30" w:type="dxa"/>
            <w:left w:w="80" w:type="dxa"/>
            <w:bottom w:w="30" w:type="dxa"/>
            <w:right w:w="80" w:type="dxa"/>
          </w:tblCellMar>
        </w:tblPrEx>
        <w:tc>
          <w:tcPr>
            <w:tcW w:w="2494" w:type="dxa"/>
            <w:shd w:val="clear" w:color="auto" w:fill="E8F4FD"/>
          </w:tcPr>
          <w:p w14:paraId="6D093917">
            <w:pPr>
              <w:spacing w:before="20" w:after="20" w:line="240" w:lineRule="auto"/>
            </w:pPr>
            <w:r>
              <w:rPr>
                <w:b/>
                <w:color w:val="002B49"/>
                <w:sz w:val="19"/>
              </w:rPr>
              <w:t>Who They Support</w:t>
            </w:r>
          </w:p>
        </w:tc>
        <w:tc>
          <w:tcPr>
            <w:tcW w:w="7143" w:type="dxa"/>
          </w:tcPr>
          <w:p w14:paraId="109D0BB0">
            <w:pPr>
              <w:spacing w:before="20" w:after="20" w:line="240" w:lineRule="auto"/>
            </w:pPr>
            <w:r>
              <w:rPr>
                <w:sz w:val="19"/>
              </w:rPr>
              <w:t>Individuals with physical disabilities, mental health conditions, injuries or illnesses seeking employment</w:t>
            </w:r>
          </w:p>
        </w:tc>
      </w:tr>
      <w:tr w14:paraId="6A52DD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30" w:type="dxa"/>
            <w:left w:w="80" w:type="dxa"/>
            <w:bottom w:w="30" w:type="dxa"/>
            <w:right w:w="80" w:type="dxa"/>
          </w:tblCellMar>
        </w:tblPrEx>
        <w:tc>
          <w:tcPr>
            <w:tcW w:w="2494" w:type="dxa"/>
            <w:shd w:val="clear" w:color="auto" w:fill="E8F4FD"/>
          </w:tcPr>
          <w:p w14:paraId="7EA5725D">
            <w:pPr>
              <w:spacing w:before="20" w:after="20" w:line="240" w:lineRule="auto"/>
            </w:pPr>
            <w:r>
              <w:rPr>
                <w:b/>
                <w:color w:val="002B49"/>
                <w:sz w:val="19"/>
              </w:rPr>
              <w:t>Location / Coverage</w:t>
            </w:r>
          </w:p>
        </w:tc>
        <w:tc>
          <w:tcPr>
            <w:tcW w:w="7143" w:type="dxa"/>
          </w:tcPr>
          <w:p w14:paraId="5C460BCC">
            <w:pPr>
              <w:spacing w:before="20" w:after="20" w:line="240" w:lineRule="auto"/>
            </w:pPr>
            <w:r>
              <w:rPr>
                <w:sz w:val="19"/>
              </w:rPr>
              <w:t>Brisbane metropolitan area, including Chermside and South Brisbane hubs (scan-recorded)</w:t>
            </w:r>
          </w:p>
        </w:tc>
      </w:tr>
      <w:tr w14:paraId="0552CF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30" w:type="dxa"/>
            <w:left w:w="80" w:type="dxa"/>
            <w:bottom w:w="30" w:type="dxa"/>
            <w:right w:w="80" w:type="dxa"/>
          </w:tblCellMar>
        </w:tblPrEx>
        <w:tc>
          <w:tcPr>
            <w:tcW w:w="2494" w:type="dxa"/>
            <w:shd w:val="clear" w:color="auto" w:fill="E8F4FD"/>
          </w:tcPr>
          <w:p w14:paraId="2867A553">
            <w:pPr>
              <w:spacing w:before="20" w:after="20" w:line="240" w:lineRule="auto"/>
            </w:pPr>
            <w:r>
              <w:rPr>
                <w:b/>
                <w:color w:val="002B49"/>
                <w:sz w:val="19"/>
              </w:rPr>
              <w:t>Phone</w:t>
            </w:r>
          </w:p>
        </w:tc>
        <w:tc>
          <w:tcPr>
            <w:tcW w:w="7143" w:type="dxa"/>
          </w:tcPr>
          <w:p w14:paraId="603E2573">
            <w:pPr>
              <w:spacing w:before="20" w:after="20" w:line="240" w:lineRule="auto"/>
            </w:pPr>
            <w:r>
              <w:rPr>
                <w:sz w:val="19"/>
              </w:rPr>
              <w:t>1800 767 212</w:t>
            </w:r>
          </w:p>
        </w:tc>
      </w:tr>
      <w:tr w14:paraId="3600A2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30" w:type="dxa"/>
            <w:left w:w="80" w:type="dxa"/>
            <w:bottom w:w="30" w:type="dxa"/>
            <w:right w:w="80" w:type="dxa"/>
          </w:tblCellMar>
        </w:tblPrEx>
        <w:tc>
          <w:tcPr>
            <w:tcW w:w="2494" w:type="dxa"/>
            <w:shd w:val="clear" w:color="auto" w:fill="E8F4FD"/>
          </w:tcPr>
          <w:p w14:paraId="4043CD42">
            <w:pPr>
              <w:spacing w:before="20" w:after="20" w:line="240" w:lineRule="auto"/>
            </w:pPr>
            <w:r>
              <w:rPr>
                <w:b/>
                <w:color w:val="002B49"/>
                <w:sz w:val="19"/>
              </w:rPr>
              <w:t>Email</w:t>
            </w:r>
          </w:p>
        </w:tc>
        <w:tc>
          <w:tcPr>
            <w:tcW w:w="7143" w:type="dxa"/>
          </w:tcPr>
          <w:p w14:paraId="390CD074">
            <w:pPr>
              <w:spacing w:before="20" w:after="20" w:line="240" w:lineRule="auto"/>
            </w:pPr>
            <w:r>
              <w:rPr>
                <w:sz w:val="19"/>
              </w:rPr>
              <w:t>hello@breakthru.org.au</w:t>
            </w:r>
          </w:p>
        </w:tc>
      </w:tr>
      <w:tr w14:paraId="05E689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30" w:type="dxa"/>
            <w:left w:w="80" w:type="dxa"/>
            <w:bottom w:w="30" w:type="dxa"/>
            <w:right w:w="80" w:type="dxa"/>
          </w:tblCellMar>
        </w:tblPrEx>
        <w:tc>
          <w:tcPr>
            <w:tcW w:w="2494" w:type="dxa"/>
            <w:shd w:val="clear" w:color="auto" w:fill="E8F4FD"/>
          </w:tcPr>
          <w:p w14:paraId="6B6726EA">
            <w:pPr>
              <w:spacing w:before="20" w:after="20" w:line="240" w:lineRule="auto"/>
            </w:pPr>
            <w:r>
              <w:rPr>
                <w:b/>
                <w:color w:val="002B49"/>
                <w:sz w:val="19"/>
              </w:rPr>
              <w:t>Website</w:t>
            </w:r>
          </w:p>
        </w:tc>
        <w:tc>
          <w:tcPr>
            <w:tcW w:w="7143" w:type="dxa"/>
          </w:tcPr>
          <w:p w14:paraId="32C83EEC">
            <w:pPr>
              <w:spacing w:before="20" w:after="20" w:line="240" w:lineRule="auto"/>
            </w:pPr>
            <w:r>
              <w:fldChar w:fldCharType="begin"/>
            </w:r>
            <w:r>
              <w:instrText xml:space="preserve"> HYPERLINK "https://breakthru.org.au" \h </w:instrText>
            </w:r>
            <w:r>
              <w:fldChar w:fldCharType="separate"/>
            </w:r>
            <w:r>
              <w:rPr>
                <w:rFonts w:ascii="Calibri" w:hAnsi="Calibri"/>
                <w:color w:val="0066CC"/>
                <w:sz w:val="19"/>
                <w:u w:val="single"/>
              </w:rPr>
              <w:t>https://breakthru.org.au</w:t>
            </w:r>
            <w:r>
              <w:rPr>
                <w:rFonts w:ascii="Calibri" w:hAnsi="Calibri"/>
                <w:color w:val="0066CC"/>
                <w:sz w:val="19"/>
                <w:u w:val="single"/>
              </w:rPr>
              <w:fldChar w:fldCharType="end"/>
            </w:r>
          </w:p>
        </w:tc>
      </w:tr>
      <w:tr w14:paraId="72F786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30" w:type="dxa"/>
            <w:left w:w="80" w:type="dxa"/>
            <w:bottom w:w="30" w:type="dxa"/>
            <w:right w:w="80" w:type="dxa"/>
          </w:tblCellMar>
        </w:tblPrEx>
        <w:tc>
          <w:tcPr>
            <w:tcW w:w="2494" w:type="dxa"/>
            <w:shd w:val="clear" w:color="auto" w:fill="E8F4FD"/>
          </w:tcPr>
          <w:p w14:paraId="3361002C">
            <w:pPr>
              <w:spacing w:before="20" w:after="20" w:line="240" w:lineRule="auto"/>
            </w:pPr>
            <w:r>
              <w:rPr>
                <w:b/>
                <w:color w:val="002B49"/>
                <w:sz w:val="19"/>
              </w:rPr>
              <w:t>Verification Status</w:t>
            </w:r>
          </w:p>
        </w:tc>
        <w:tc>
          <w:tcPr>
            <w:tcW w:w="7143" w:type="dxa"/>
          </w:tcPr>
          <w:p w14:paraId="2A7E8020">
            <w:pPr>
              <w:spacing w:before="20" w:after="20" w:line="240" w:lineRule="auto"/>
            </w:pPr>
            <w:r>
              <w:rPr>
                <w:sz w:val="19"/>
              </w:rPr>
              <w:t>REQUIRES VERIFICATION — environmental scan record from official provider pages.</w:t>
            </w:r>
          </w:p>
        </w:tc>
      </w:tr>
    </w:tbl>
    <w:p w14:paraId="0C0D5E98">
      <w:pPr>
        <w:pStyle w:val="4"/>
      </w:pPr>
      <w:r>
        <w:rPr>
          <w:color w:val="002B49"/>
        </w:rPr>
        <w:t>HELP Enterprises — IEA</w:t>
      </w:r>
    </w:p>
    <w:tbl>
      <w:tblPr>
        <w:tblStyle w:val="3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30" w:type="dxa"/>
          <w:left w:w="80" w:type="dxa"/>
          <w:bottom w:w="30" w:type="dxa"/>
          <w:right w:w="80" w:type="dxa"/>
        </w:tblCellMar>
      </w:tblPr>
      <w:tblGrid>
        <w:gridCol w:w="4819"/>
        <w:gridCol w:w="4819"/>
      </w:tblGrid>
      <w:tr w14:paraId="2C34C4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30" w:type="dxa"/>
            <w:left w:w="80" w:type="dxa"/>
            <w:bottom w:w="30" w:type="dxa"/>
            <w:right w:w="80" w:type="dxa"/>
          </w:tblCellMar>
        </w:tblPrEx>
        <w:tc>
          <w:tcPr>
            <w:tcW w:w="2494" w:type="dxa"/>
            <w:shd w:val="clear" w:color="auto" w:fill="E8F4FD"/>
          </w:tcPr>
          <w:p w14:paraId="6B343B7B">
            <w:pPr>
              <w:spacing w:before="20" w:after="20" w:line="240" w:lineRule="auto"/>
            </w:pPr>
            <w:r>
              <w:rPr>
                <w:b/>
                <w:color w:val="002B49"/>
                <w:sz w:val="19"/>
              </w:rPr>
              <w:t>Organisation</w:t>
            </w:r>
          </w:p>
        </w:tc>
        <w:tc>
          <w:tcPr>
            <w:tcW w:w="7143" w:type="dxa"/>
          </w:tcPr>
          <w:p w14:paraId="52E90E78">
            <w:pPr>
              <w:spacing w:before="20" w:after="20" w:line="240" w:lineRule="auto"/>
            </w:pPr>
            <w:r>
              <w:rPr>
                <w:sz w:val="19"/>
              </w:rPr>
              <w:t>Help Enterprises Limited</w:t>
            </w:r>
          </w:p>
        </w:tc>
      </w:tr>
      <w:tr w14:paraId="450237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30" w:type="dxa"/>
            <w:left w:w="80" w:type="dxa"/>
            <w:bottom w:w="30" w:type="dxa"/>
            <w:right w:w="80" w:type="dxa"/>
          </w:tblCellMar>
        </w:tblPrEx>
        <w:tc>
          <w:tcPr>
            <w:tcW w:w="2494" w:type="dxa"/>
            <w:shd w:val="clear" w:color="auto" w:fill="E8F4FD"/>
          </w:tcPr>
          <w:p w14:paraId="0D4113E0">
            <w:pPr>
              <w:spacing w:before="20" w:after="20" w:line="240" w:lineRule="auto"/>
            </w:pPr>
            <w:r>
              <w:rPr>
                <w:b/>
                <w:color w:val="002B49"/>
                <w:sz w:val="19"/>
              </w:rPr>
              <w:t>Program / Service</w:t>
            </w:r>
          </w:p>
        </w:tc>
        <w:tc>
          <w:tcPr>
            <w:tcW w:w="7143" w:type="dxa"/>
          </w:tcPr>
          <w:p w14:paraId="77AA4A7D">
            <w:pPr>
              <w:spacing w:before="20" w:after="20" w:line="240" w:lineRule="auto"/>
            </w:pPr>
            <w:r>
              <w:rPr>
                <w:sz w:val="19"/>
              </w:rPr>
              <w:t>Inclusive Employment Australia (IEA) — disability and supported employment</w:t>
            </w:r>
          </w:p>
        </w:tc>
      </w:tr>
      <w:tr w14:paraId="724125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30" w:type="dxa"/>
            <w:left w:w="80" w:type="dxa"/>
            <w:bottom w:w="30" w:type="dxa"/>
            <w:right w:w="80" w:type="dxa"/>
          </w:tblCellMar>
        </w:tblPrEx>
        <w:tc>
          <w:tcPr>
            <w:tcW w:w="2494" w:type="dxa"/>
            <w:shd w:val="clear" w:color="auto" w:fill="E8F4FD"/>
          </w:tcPr>
          <w:p w14:paraId="12E50FA2">
            <w:pPr>
              <w:spacing w:before="20" w:after="20" w:line="240" w:lineRule="auto"/>
            </w:pPr>
            <w:r>
              <w:rPr>
                <w:b/>
                <w:color w:val="002B49"/>
                <w:sz w:val="19"/>
              </w:rPr>
              <w:t>Service Description</w:t>
            </w:r>
          </w:p>
        </w:tc>
        <w:tc>
          <w:tcPr>
            <w:tcW w:w="7143" w:type="dxa"/>
          </w:tcPr>
          <w:p w14:paraId="5BB9E422">
            <w:pPr>
              <w:spacing w:before="20" w:after="20" w:line="240" w:lineRule="auto"/>
            </w:pPr>
            <w:r>
              <w:rPr>
                <w:sz w:val="19"/>
              </w:rPr>
              <w:t>Tailored job matching, employment coaching, accredited skill building, work experience placement and ongoing workplace mentoring.</w:t>
            </w:r>
          </w:p>
        </w:tc>
      </w:tr>
      <w:tr w14:paraId="583B2C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30" w:type="dxa"/>
            <w:left w:w="80" w:type="dxa"/>
            <w:bottom w:w="30" w:type="dxa"/>
            <w:right w:w="80" w:type="dxa"/>
          </w:tblCellMar>
        </w:tblPrEx>
        <w:tc>
          <w:tcPr>
            <w:tcW w:w="2494" w:type="dxa"/>
            <w:shd w:val="clear" w:color="auto" w:fill="E8F4FD"/>
          </w:tcPr>
          <w:p w14:paraId="4A60B67A">
            <w:pPr>
              <w:spacing w:before="20" w:after="20" w:line="240" w:lineRule="auto"/>
            </w:pPr>
            <w:r>
              <w:rPr>
                <w:b/>
                <w:color w:val="002B49"/>
                <w:sz w:val="19"/>
              </w:rPr>
              <w:t>Who They Support</w:t>
            </w:r>
          </w:p>
        </w:tc>
        <w:tc>
          <w:tcPr>
            <w:tcW w:w="7143" w:type="dxa"/>
          </w:tcPr>
          <w:p w14:paraId="0C006A4A">
            <w:pPr>
              <w:spacing w:before="20" w:after="20" w:line="240" w:lineRule="auto"/>
            </w:pPr>
            <w:r>
              <w:rPr>
                <w:sz w:val="19"/>
              </w:rPr>
              <w:t>Job seekers with disability, injury or medical conditions looking for open employment or supported work options</w:t>
            </w:r>
          </w:p>
        </w:tc>
      </w:tr>
      <w:tr w14:paraId="4C616D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30" w:type="dxa"/>
            <w:left w:w="80" w:type="dxa"/>
            <w:bottom w:w="30" w:type="dxa"/>
            <w:right w:w="80" w:type="dxa"/>
          </w:tblCellMar>
        </w:tblPrEx>
        <w:tc>
          <w:tcPr>
            <w:tcW w:w="2494" w:type="dxa"/>
            <w:shd w:val="clear" w:color="auto" w:fill="E8F4FD"/>
          </w:tcPr>
          <w:p w14:paraId="0402DE8E">
            <w:pPr>
              <w:spacing w:before="20" w:after="20" w:line="240" w:lineRule="auto"/>
            </w:pPr>
            <w:r>
              <w:rPr>
                <w:b/>
                <w:color w:val="002B49"/>
                <w:sz w:val="19"/>
              </w:rPr>
              <w:t>Location / Coverage</w:t>
            </w:r>
          </w:p>
        </w:tc>
        <w:tc>
          <w:tcPr>
            <w:tcW w:w="7143" w:type="dxa"/>
          </w:tcPr>
          <w:p w14:paraId="255B45CC">
            <w:pPr>
              <w:spacing w:before="20" w:after="20" w:line="240" w:lineRule="auto"/>
            </w:pPr>
            <w:r>
              <w:rPr>
                <w:sz w:val="19"/>
              </w:rPr>
              <w:t>Acacia Ridge (4110), Mitchelton, Chermside and Brisbane metropolitan sites (scan-recorded)</w:t>
            </w:r>
          </w:p>
        </w:tc>
      </w:tr>
      <w:tr w14:paraId="5F0C6E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30" w:type="dxa"/>
            <w:left w:w="80" w:type="dxa"/>
            <w:bottom w:w="30" w:type="dxa"/>
            <w:right w:w="80" w:type="dxa"/>
          </w:tblCellMar>
        </w:tblPrEx>
        <w:tc>
          <w:tcPr>
            <w:tcW w:w="2494" w:type="dxa"/>
            <w:shd w:val="clear" w:color="auto" w:fill="E8F4FD"/>
          </w:tcPr>
          <w:p w14:paraId="616C9F71">
            <w:pPr>
              <w:spacing w:before="20" w:after="20" w:line="240" w:lineRule="auto"/>
            </w:pPr>
            <w:r>
              <w:rPr>
                <w:b/>
                <w:color w:val="002B49"/>
                <w:sz w:val="19"/>
              </w:rPr>
              <w:t>Phone</w:t>
            </w:r>
          </w:p>
        </w:tc>
        <w:tc>
          <w:tcPr>
            <w:tcW w:w="7143" w:type="dxa"/>
          </w:tcPr>
          <w:p w14:paraId="3D26FFEE">
            <w:pPr>
              <w:spacing w:before="20" w:after="20" w:line="240" w:lineRule="auto"/>
            </w:pPr>
            <w:r>
              <w:rPr>
                <w:sz w:val="19"/>
              </w:rPr>
              <w:t>1800 877 545 / 1300 435 736</w:t>
            </w:r>
          </w:p>
        </w:tc>
      </w:tr>
      <w:tr w14:paraId="486334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30" w:type="dxa"/>
            <w:left w:w="80" w:type="dxa"/>
            <w:bottom w:w="30" w:type="dxa"/>
            <w:right w:w="80" w:type="dxa"/>
          </w:tblCellMar>
        </w:tblPrEx>
        <w:tc>
          <w:tcPr>
            <w:tcW w:w="2494" w:type="dxa"/>
            <w:shd w:val="clear" w:color="auto" w:fill="E8F4FD"/>
          </w:tcPr>
          <w:p w14:paraId="7A610EF8">
            <w:pPr>
              <w:spacing w:before="20" w:after="20" w:line="240" w:lineRule="auto"/>
            </w:pPr>
            <w:r>
              <w:rPr>
                <w:b/>
                <w:color w:val="002B49"/>
                <w:sz w:val="19"/>
              </w:rPr>
              <w:t>Email</w:t>
            </w:r>
          </w:p>
        </w:tc>
        <w:tc>
          <w:tcPr>
            <w:tcW w:w="7143" w:type="dxa"/>
          </w:tcPr>
          <w:p w14:paraId="29A84CCD">
            <w:pPr>
              <w:spacing w:before="20" w:after="20" w:line="240" w:lineRule="auto"/>
            </w:pPr>
            <w:r>
              <w:rPr>
                <w:sz w:val="19"/>
              </w:rPr>
              <w:t>inquiries@help.org.au</w:t>
            </w:r>
          </w:p>
        </w:tc>
      </w:tr>
      <w:tr w14:paraId="3CF626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30" w:type="dxa"/>
            <w:left w:w="80" w:type="dxa"/>
            <w:bottom w:w="30" w:type="dxa"/>
            <w:right w:w="80" w:type="dxa"/>
          </w:tblCellMar>
        </w:tblPrEx>
        <w:tc>
          <w:tcPr>
            <w:tcW w:w="2494" w:type="dxa"/>
            <w:shd w:val="clear" w:color="auto" w:fill="E8F4FD"/>
          </w:tcPr>
          <w:p w14:paraId="3CDA5EBB">
            <w:pPr>
              <w:spacing w:before="20" w:after="20" w:line="240" w:lineRule="auto"/>
            </w:pPr>
            <w:r>
              <w:rPr>
                <w:b/>
                <w:color w:val="002B49"/>
                <w:sz w:val="19"/>
              </w:rPr>
              <w:t>Website</w:t>
            </w:r>
          </w:p>
        </w:tc>
        <w:tc>
          <w:tcPr>
            <w:tcW w:w="7143" w:type="dxa"/>
          </w:tcPr>
          <w:p w14:paraId="74663C24">
            <w:pPr>
              <w:spacing w:before="20" w:after="20" w:line="240" w:lineRule="auto"/>
            </w:pPr>
            <w:r>
              <w:fldChar w:fldCharType="begin"/>
            </w:r>
            <w:r>
              <w:instrText xml:space="preserve"> HYPERLINK "https://www.help.org.au" \h </w:instrText>
            </w:r>
            <w:r>
              <w:fldChar w:fldCharType="separate"/>
            </w:r>
            <w:r>
              <w:rPr>
                <w:rFonts w:ascii="Calibri" w:hAnsi="Calibri"/>
                <w:color w:val="0066CC"/>
                <w:sz w:val="19"/>
                <w:u w:val="single"/>
              </w:rPr>
              <w:t>https://www.help.org.au</w:t>
            </w:r>
            <w:r>
              <w:rPr>
                <w:rFonts w:ascii="Calibri" w:hAnsi="Calibri"/>
                <w:color w:val="0066CC"/>
                <w:sz w:val="19"/>
                <w:u w:val="single"/>
              </w:rPr>
              <w:fldChar w:fldCharType="end"/>
            </w:r>
          </w:p>
        </w:tc>
      </w:tr>
      <w:tr w14:paraId="77B6F9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30" w:type="dxa"/>
            <w:left w:w="80" w:type="dxa"/>
            <w:bottom w:w="30" w:type="dxa"/>
            <w:right w:w="80" w:type="dxa"/>
          </w:tblCellMar>
        </w:tblPrEx>
        <w:tc>
          <w:tcPr>
            <w:tcW w:w="2494" w:type="dxa"/>
            <w:shd w:val="clear" w:color="auto" w:fill="E8F4FD"/>
          </w:tcPr>
          <w:p w14:paraId="67E3F6C8">
            <w:pPr>
              <w:spacing w:before="20" w:after="20" w:line="240" w:lineRule="auto"/>
            </w:pPr>
            <w:r>
              <w:rPr>
                <w:b/>
                <w:color w:val="002B49"/>
                <w:sz w:val="19"/>
              </w:rPr>
              <w:t>Verification Status</w:t>
            </w:r>
          </w:p>
        </w:tc>
        <w:tc>
          <w:tcPr>
            <w:tcW w:w="7143" w:type="dxa"/>
          </w:tcPr>
          <w:p w14:paraId="30D01B63">
            <w:pPr>
              <w:spacing w:before="20" w:after="20" w:line="240" w:lineRule="auto"/>
            </w:pPr>
            <w:r>
              <w:rPr>
                <w:sz w:val="19"/>
              </w:rPr>
              <w:t>REQUIRES VERIFICATION — environmental scan record from official provider pages.</w:t>
            </w:r>
          </w:p>
        </w:tc>
      </w:tr>
    </w:tbl>
    <w:p w14:paraId="16E67F8A">
      <w:pPr>
        <w:pStyle w:val="4"/>
      </w:pPr>
      <w:r>
        <w:rPr>
          <w:color w:val="002B49"/>
        </w:rPr>
        <w:t>APM Employment Services — IEA</w:t>
      </w:r>
    </w:p>
    <w:tbl>
      <w:tblPr>
        <w:tblStyle w:val="3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30" w:type="dxa"/>
          <w:left w:w="80" w:type="dxa"/>
          <w:bottom w:w="30" w:type="dxa"/>
          <w:right w:w="80" w:type="dxa"/>
        </w:tblCellMar>
      </w:tblPr>
      <w:tblGrid>
        <w:gridCol w:w="4819"/>
        <w:gridCol w:w="4819"/>
      </w:tblGrid>
      <w:tr w14:paraId="25FD08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30" w:type="dxa"/>
            <w:left w:w="80" w:type="dxa"/>
            <w:bottom w:w="30" w:type="dxa"/>
            <w:right w:w="80" w:type="dxa"/>
          </w:tblCellMar>
        </w:tblPrEx>
        <w:tc>
          <w:tcPr>
            <w:tcW w:w="2494" w:type="dxa"/>
            <w:shd w:val="clear" w:color="auto" w:fill="E8F4FD"/>
          </w:tcPr>
          <w:p w14:paraId="1F9CEFD3">
            <w:pPr>
              <w:spacing w:before="20" w:after="20" w:line="240" w:lineRule="auto"/>
            </w:pPr>
            <w:r>
              <w:rPr>
                <w:b/>
                <w:color w:val="002B49"/>
                <w:sz w:val="19"/>
              </w:rPr>
              <w:t>Organisation</w:t>
            </w:r>
          </w:p>
        </w:tc>
        <w:tc>
          <w:tcPr>
            <w:tcW w:w="7143" w:type="dxa"/>
          </w:tcPr>
          <w:p w14:paraId="269D3EE2">
            <w:pPr>
              <w:spacing w:before="20" w:after="20" w:line="240" w:lineRule="auto"/>
            </w:pPr>
            <w:r>
              <w:rPr>
                <w:sz w:val="19"/>
              </w:rPr>
              <w:t>APM Human Services International (APM)</w:t>
            </w:r>
          </w:p>
        </w:tc>
      </w:tr>
      <w:tr w14:paraId="3EEFAC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30" w:type="dxa"/>
            <w:left w:w="80" w:type="dxa"/>
            <w:bottom w:w="30" w:type="dxa"/>
            <w:right w:w="80" w:type="dxa"/>
          </w:tblCellMar>
        </w:tblPrEx>
        <w:tc>
          <w:tcPr>
            <w:tcW w:w="2494" w:type="dxa"/>
            <w:shd w:val="clear" w:color="auto" w:fill="E8F4FD"/>
          </w:tcPr>
          <w:p w14:paraId="05916E92">
            <w:pPr>
              <w:spacing w:before="20" w:after="20" w:line="240" w:lineRule="auto"/>
            </w:pPr>
            <w:r>
              <w:rPr>
                <w:b/>
                <w:color w:val="002B49"/>
                <w:sz w:val="19"/>
              </w:rPr>
              <w:t>Program / Service</w:t>
            </w:r>
          </w:p>
        </w:tc>
        <w:tc>
          <w:tcPr>
            <w:tcW w:w="7143" w:type="dxa"/>
          </w:tcPr>
          <w:p w14:paraId="350448B7">
            <w:pPr>
              <w:spacing w:before="20" w:after="20" w:line="240" w:lineRule="auto"/>
            </w:pPr>
            <w:r>
              <w:rPr>
                <w:sz w:val="19"/>
              </w:rPr>
              <w:t>Inclusive Employment Australia (IEA)</w:t>
            </w:r>
          </w:p>
        </w:tc>
      </w:tr>
      <w:tr w14:paraId="0DFB26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30" w:type="dxa"/>
            <w:left w:w="80" w:type="dxa"/>
            <w:bottom w:w="30" w:type="dxa"/>
            <w:right w:w="80" w:type="dxa"/>
          </w:tblCellMar>
        </w:tblPrEx>
        <w:tc>
          <w:tcPr>
            <w:tcW w:w="2494" w:type="dxa"/>
            <w:shd w:val="clear" w:color="auto" w:fill="E8F4FD"/>
          </w:tcPr>
          <w:p w14:paraId="53FC44C3">
            <w:pPr>
              <w:spacing w:before="20" w:after="20" w:line="240" w:lineRule="auto"/>
            </w:pPr>
            <w:r>
              <w:rPr>
                <w:b/>
                <w:color w:val="002B49"/>
                <w:sz w:val="19"/>
              </w:rPr>
              <w:t>Service Description</w:t>
            </w:r>
          </w:p>
        </w:tc>
        <w:tc>
          <w:tcPr>
            <w:tcW w:w="7143" w:type="dxa"/>
          </w:tcPr>
          <w:p w14:paraId="30EC2980">
            <w:pPr>
              <w:spacing w:before="20" w:after="20" w:line="240" w:lineRule="auto"/>
            </w:pPr>
            <w:r>
              <w:rPr>
                <w:sz w:val="19"/>
              </w:rPr>
              <w:t>Job readiness assessments, wage subsidies, workplace redesign, disability accommodation assistance and long-term support.</w:t>
            </w:r>
          </w:p>
        </w:tc>
      </w:tr>
      <w:tr w14:paraId="1D33CE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30" w:type="dxa"/>
            <w:left w:w="80" w:type="dxa"/>
            <w:bottom w:w="30" w:type="dxa"/>
            <w:right w:w="80" w:type="dxa"/>
          </w:tblCellMar>
        </w:tblPrEx>
        <w:tc>
          <w:tcPr>
            <w:tcW w:w="2494" w:type="dxa"/>
            <w:shd w:val="clear" w:color="auto" w:fill="E8F4FD"/>
          </w:tcPr>
          <w:p w14:paraId="57FBA8E8">
            <w:pPr>
              <w:spacing w:before="20" w:after="20" w:line="240" w:lineRule="auto"/>
            </w:pPr>
            <w:r>
              <w:rPr>
                <w:b/>
                <w:color w:val="002B49"/>
                <w:sz w:val="19"/>
              </w:rPr>
              <w:t>Who They Support</w:t>
            </w:r>
          </w:p>
        </w:tc>
        <w:tc>
          <w:tcPr>
            <w:tcW w:w="7143" w:type="dxa"/>
          </w:tcPr>
          <w:p w14:paraId="45D80DD7">
            <w:pPr>
              <w:spacing w:before="20" w:after="20" w:line="240" w:lineRule="auto"/>
            </w:pPr>
            <w:r>
              <w:rPr>
                <w:sz w:val="19"/>
              </w:rPr>
              <w:t>Job seekers with physical/mental disability, injury or health issues seeking sustainable work</w:t>
            </w:r>
          </w:p>
        </w:tc>
      </w:tr>
      <w:tr w14:paraId="2B923B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30" w:type="dxa"/>
            <w:left w:w="80" w:type="dxa"/>
            <w:bottom w:w="30" w:type="dxa"/>
            <w:right w:w="80" w:type="dxa"/>
          </w:tblCellMar>
        </w:tblPrEx>
        <w:tc>
          <w:tcPr>
            <w:tcW w:w="2494" w:type="dxa"/>
            <w:shd w:val="clear" w:color="auto" w:fill="E8F4FD"/>
          </w:tcPr>
          <w:p w14:paraId="034BD2D2">
            <w:pPr>
              <w:spacing w:before="20" w:after="20" w:line="240" w:lineRule="auto"/>
            </w:pPr>
            <w:r>
              <w:rPr>
                <w:b/>
                <w:color w:val="002B49"/>
                <w:sz w:val="19"/>
              </w:rPr>
              <w:t>Location / Coverage</w:t>
            </w:r>
          </w:p>
        </w:tc>
        <w:tc>
          <w:tcPr>
            <w:tcW w:w="7143" w:type="dxa"/>
          </w:tcPr>
          <w:p w14:paraId="11C1B766">
            <w:pPr>
              <w:spacing w:before="20" w:after="20" w:line="240" w:lineRule="auto"/>
            </w:pPr>
            <w:r>
              <w:rPr>
                <w:sz w:val="19"/>
              </w:rPr>
              <w:t>Mount Gravatt, Springwood, Inala and Logan corridors (scan-recorded)</w:t>
            </w:r>
          </w:p>
        </w:tc>
      </w:tr>
      <w:tr w14:paraId="553FE7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30" w:type="dxa"/>
            <w:left w:w="80" w:type="dxa"/>
            <w:bottom w:w="30" w:type="dxa"/>
            <w:right w:w="80" w:type="dxa"/>
          </w:tblCellMar>
        </w:tblPrEx>
        <w:tc>
          <w:tcPr>
            <w:tcW w:w="2494" w:type="dxa"/>
            <w:shd w:val="clear" w:color="auto" w:fill="E8F4FD"/>
          </w:tcPr>
          <w:p w14:paraId="5A2EDF25">
            <w:pPr>
              <w:spacing w:before="20" w:after="20" w:line="240" w:lineRule="auto"/>
            </w:pPr>
            <w:r>
              <w:rPr>
                <w:b/>
                <w:color w:val="002B49"/>
                <w:sz w:val="19"/>
              </w:rPr>
              <w:t>Phone</w:t>
            </w:r>
          </w:p>
        </w:tc>
        <w:tc>
          <w:tcPr>
            <w:tcW w:w="7143" w:type="dxa"/>
          </w:tcPr>
          <w:p w14:paraId="6F54B080">
            <w:pPr>
              <w:spacing w:before="20" w:after="20" w:line="240" w:lineRule="auto"/>
            </w:pPr>
            <w:r>
              <w:rPr>
                <w:sz w:val="19"/>
              </w:rPr>
              <w:t>1800 276 276</w:t>
            </w:r>
          </w:p>
        </w:tc>
      </w:tr>
      <w:tr w14:paraId="4DA668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30" w:type="dxa"/>
            <w:left w:w="80" w:type="dxa"/>
            <w:bottom w:w="30" w:type="dxa"/>
            <w:right w:w="80" w:type="dxa"/>
          </w:tblCellMar>
        </w:tblPrEx>
        <w:tc>
          <w:tcPr>
            <w:tcW w:w="2494" w:type="dxa"/>
            <w:shd w:val="clear" w:color="auto" w:fill="E8F4FD"/>
          </w:tcPr>
          <w:p w14:paraId="3E1BB3D9">
            <w:pPr>
              <w:spacing w:before="20" w:after="20" w:line="240" w:lineRule="auto"/>
            </w:pPr>
            <w:r>
              <w:rPr>
                <w:b/>
                <w:color w:val="002B49"/>
                <w:sz w:val="19"/>
              </w:rPr>
              <w:t>Email</w:t>
            </w:r>
          </w:p>
        </w:tc>
        <w:tc>
          <w:tcPr>
            <w:tcW w:w="7143" w:type="dxa"/>
          </w:tcPr>
          <w:p w14:paraId="4D0F7156">
            <w:pPr>
              <w:spacing w:before="20" w:after="20" w:line="240" w:lineRule="auto"/>
            </w:pPr>
            <w:r>
              <w:rPr>
                <w:sz w:val="19"/>
              </w:rPr>
              <w:t>support@apm.net.au</w:t>
            </w:r>
          </w:p>
        </w:tc>
      </w:tr>
      <w:tr w14:paraId="6AC517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30" w:type="dxa"/>
            <w:left w:w="80" w:type="dxa"/>
            <w:bottom w:w="30" w:type="dxa"/>
            <w:right w:w="80" w:type="dxa"/>
          </w:tblCellMar>
        </w:tblPrEx>
        <w:tc>
          <w:tcPr>
            <w:tcW w:w="2494" w:type="dxa"/>
            <w:shd w:val="clear" w:color="auto" w:fill="E8F4FD"/>
          </w:tcPr>
          <w:p w14:paraId="3D962AB1">
            <w:pPr>
              <w:spacing w:before="20" w:after="20" w:line="240" w:lineRule="auto"/>
            </w:pPr>
            <w:r>
              <w:rPr>
                <w:b/>
                <w:color w:val="002B49"/>
                <w:sz w:val="19"/>
              </w:rPr>
              <w:t>Website</w:t>
            </w:r>
          </w:p>
        </w:tc>
        <w:tc>
          <w:tcPr>
            <w:tcW w:w="7143" w:type="dxa"/>
          </w:tcPr>
          <w:p w14:paraId="5C7CF56D">
            <w:pPr>
              <w:spacing w:before="20" w:after="20" w:line="240" w:lineRule="auto"/>
            </w:pPr>
            <w:r>
              <w:fldChar w:fldCharType="begin"/>
            </w:r>
            <w:r>
              <w:instrText xml:space="preserve"> HYPERLINK "https://apm.net.au/iea/inclusive-employment-australia-brisbane" \h </w:instrText>
            </w:r>
            <w:r>
              <w:fldChar w:fldCharType="separate"/>
            </w:r>
            <w:r>
              <w:rPr>
                <w:rFonts w:ascii="Calibri" w:hAnsi="Calibri"/>
                <w:color w:val="0066CC"/>
                <w:sz w:val="19"/>
                <w:u w:val="single"/>
              </w:rPr>
              <w:t>https://apm.net.au/iea/inclusive-employment-australia-brisbane</w:t>
            </w:r>
            <w:r>
              <w:rPr>
                <w:rFonts w:ascii="Calibri" w:hAnsi="Calibri"/>
                <w:color w:val="0066CC"/>
                <w:sz w:val="19"/>
                <w:u w:val="single"/>
              </w:rPr>
              <w:fldChar w:fldCharType="end"/>
            </w:r>
          </w:p>
        </w:tc>
      </w:tr>
      <w:tr w14:paraId="58A3E9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30" w:type="dxa"/>
            <w:left w:w="80" w:type="dxa"/>
            <w:bottom w:w="30" w:type="dxa"/>
            <w:right w:w="80" w:type="dxa"/>
          </w:tblCellMar>
        </w:tblPrEx>
        <w:tc>
          <w:tcPr>
            <w:tcW w:w="2494" w:type="dxa"/>
            <w:shd w:val="clear" w:color="auto" w:fill="E8F4FD"/>
          </w:tcPr>
          <w:p w14:paraId="44DA51B2">
            <w:pPr>
              <w:spacing w:before="20" w:after="20" w:line="240" w:lineRule="auto"/>
            </w:pPr>
            <w:r>
              <w:rPr>
                <w:b/>
                <w:color w:val="002B49"/>
                <w:sz w:val="19"/>
              </w:rPr>
              <w:t>Verification Status</w:t>
            </w:r>
          </w:p>
        </w:tc>
        <w:tc>
          <w:tcPr>
            <w:tcW w:w="7143" w:type="dxa"/>
          </w:tcPr>
          <w:p w14:paraId="6F97DB1A">
            <w:pPr>
              <w:spacing w:before="20" w:after="20" w:line="240" w:lineRule="auto"/>
            </w:pPr>
            <w:r>
              <w:rPr>
                <w:sz w:val="19"/>
              </w:rPr>
              <w:t>REQUIRES VERIFICATION — environmental scan record from official provider pages.</w:t>
            </w:r>
          </w:p>
        </w:tc>
      </w:tr>
    </w:tbl>
    <w:p w14:paraId="36F3C204">
      <w:pPr>
        <w:pStyle w:val="4"/>
      </w:pPr>
      <w:r>
        <w:rPr>
          <w:color w:val="002B49"/>
        </w:rPr>
        <w:t>atWork Australia — IEA</w:t>
      </w:r>
    </w:p>
    <w:tbl>
      <w:tblPr>
        <w:tblStyle w:val="3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30" w:type="dxa"/>
          <w:left w:w="80" w:type="dxa"/>
          <w:bottom w:w="30" w:type="dxa"/>
          <w:right w:w="80" w:type="dxa"/>
        </w:tblCellMar>
      </w:tblPr>
      <w:tblGrid>
        <w:gridCol w:w="4819"/>
        <w:gridCol w:w="4819"/>
      </w:tblGrid>
      <w:tr w14:paraId="1AC02A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30" w:type="dxa"/>
            <w:left w:w="80" w:type="dxa"/>
            <w:bottom w:w="30" w:type="dxa"/>
            <w:right w:w="80" w:type="dxa"/>
          </w:tblCellMar>
        </w:tblPrEx>
        <w:tc>
          <w:tcPr>
            <w:tcW w:w="2494" w:type="dxa"/>
            <w:shd w:val="clear" w:color="auto" w:fill="E8F4FD"/>
          </w:tcPr>
          <w:p w14:paraId="34211F15">
            <w:pPr>
              <w:spacing w:before="20" w:after="20" w:line="240" w:lineRule="auto"/>
            </w:pPr>
            <w:r>
              <w:rPr>
                <w:b/>
                <w:color w:val="002B49"/>
                <w:sz w:val="19"/>
              </w:rPr>
              <w:t>Organisation</w:t>
            </w:r>
          </w:p>
        </w:tc>
        <w:tc>
          <w:tcPr>
            <w:tcW w:w="7143" w:type="dxa"/>
          </w:tcPr>
          <w:p w14:paraId="262FC78B">
            <w:pPr>
              <w:spacing w:before="20" w:after="20" w:line="240" w:lineRule="auto"/>
            </w:pPr>
            <w:r>
              <w:rPr>
                <w:sz w:val="19"/>
              </w:rPr>
              <w:t>atWork Australia Pty Ltd</w:t>
            </w:r>
          </w:p>
        </w:tc>
      </w:tr>
      <w:tr w14:paraId="5618CE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30" w:type="dxa"/>
            <w:left w:w="80" w:type="dxa"/>
            <w:bottom w:w="30" w:type="dxa"/>
            <w:right w:w="80" w:type="dxa"/>
          </w:tblCellMar>
        </w:tblPrEx>
        <w:tc>
          <w:tcPr>
            <w:tcW w:w="2494" w:type="dxa"/>
            <w:shd w:val="clear" w:color="auto" w:fill="E8F4FD"/>
          </w:tcPr>
          <w:p w14:paraId="603E1DC9">
            <w:pPr>
              <w:spacing w:before="20" w:after="20" w:line="240" w:lineRule="auto"/>
            </w:pPr>
            <w:r>
              <w:rPr>
                <w:b/>
                <w:color w:val="002B49"/>
                <w:sz w:val="19"/>
              </w:rPr>
              <w:t>Program / Service</w:t>
            </w:r>
          </w:p>
        </w:tc>
        <w:tc>
          <w:tcPr>
            <w:tcW w:w="7143" w:type="dxa"/>
          </w:tcPr>
          <w:p w14:paraId="07B6A004">
            <w:pPr>
              <w:spacing w:before="20" w:after="20" w:line="240" w:lineRule="auto"/>
            </w:pPr>
            <w:r>
              <w:rPr>
                <w:sz w:val="19"/>
              </w:rPr>
              <w:t>Inclusive Employment Australia (IEA) — disability and injury support</w:t>
            </w:r>
          </w:p>
        </w:tc>
      </w:tr>
      <w:tr w14:paraId="169669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30" w:type="dxa"/>
            <w:left w:w="80" w:type="dxa"/>
            <w:bottom w:w="30" w:type="dxa"/>
            <w:right w:w="80" w:type="dxa"/>
          </w:tblCellMar>
        </w:tblPrEx>
        <w:tc>
          <w:tcPr>
            <w:tcW w:w="2494" w:type="dxa"/>
            <w:shd w:val="clear" w:color="auto" w:fill="E8F4FD"/>
          </w:tcPr>
          <w:p w14:paraId="06253C2A">
            <w:pPr>
              <w:spacing w:before="20" w:after="20" w:line="240" w:lineRule="auto"/>
            </w:pPr>
            <w:r>
              <w:rPr>
                <w:b/>
                <w:color w:val="002B49"/>
                <w:sz w:val="19"/>
              </w:rPr>
              <w:t>Service Description</w:t>
            </w:r>
          </w:p>
        </w:tc>
        <w:tc>
          <w:tcPr>
            <w:tcW w:w="7143" w:type="dxa"/>
          </w:tcPr>
          <w:p w14:paraId="48A26FCF">
            <w:pPr>
              <w:spacing w:before="20" w:after="20" w:line="240" w:lineRule="auto"/>
            </w:pPr>
            <w:r>
              <w:rPr>
                <w:sz w:val="19"/>
              </w:rPr>
              <w:t>Tailored job search, health and wellbeing management, post-placement mentoring and workplace adaptation funding.</w:t>
            </w:r>
          </w:p>
        </w:tc>
      </w:tr>
      <w:tr w14:paraId="0970A4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30" w:type="dxa"/>
            <w:left w:w="80" w:type="dxa"/>
            <w:bottom w:w="30" w:type="dxa"/>
            <w:right w:w="80" w:type="dxa"/>
          </w:tblCellMar>
        </w:tblPrEx>
        <w:tc>
          <w:tcPr>
            <w:tcW w:w="2494" w:type="dxa"/>
            <w:shd w:val="clear" w:color="auto" w:fill="E8F4FD"/>
          </w:tcPr>
          <w:p w14:paraId="6BA8094B">
            <w:pPr>
              <w:spacing w:before="20" w:after="20" w:line="240" w:lineRule="auto"/>
            </w:pPr>
            <w:r>
              <w:rPr>
                <w:b/>
                <w:color w:val="002B49"/>
                <w:sz w:val="19"/>
              </w:rPr>
              <w:t>Who They Support</w:t>
            </w:r>
          </w:p>
        </w:tc>
        <w:tc>
          <w:tcPr>
            <w:tcW w:w="7143" w:type="dxa"/>
          </w:tcPr>
          <w:p w14:paraId="6D1CB310">
            <w:pPr>
              <w:spacing w:before="20" w:after="20" w:line="240" w:lineRule="auto"/>
            </w:pPr>
            <w:r>
              <w:rPr>
                <w:sz w:val="19"/>
              </w:rPr>
              <w:t>Individuals with health barriers or disability aiming to enter or return to the workforce</w:t>
            </w:r>
          </w:p>
        </w:tc>
      </w:tr>
      <w:tr w14:paraId="2501ED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30" w:type="dxa"/>
            <w:left w:w="80" w:type="dxa"/>
            <w:bottom w:w="30" w:type="dxa"/>
            <w:right w:w="80" w:type="dxa"/>
          </w:tblCellMar>
        </w:tblPrEx>
        <w:tc>
          <w:tcPr>
            <w:tcW w:w="2494" w:type="dxa"/>
            <w:shd w:val="clear" w:color="auto" w:fill="E8F4FD"/>
          </w:tcPr>
          <w:p w14:paraId="208CAA7C">
            <w:pPr>
              <w:spacing w:before="20" w:after="20" w:line="240" w:lineRule="auto"/>
            </w:pPr>
            <w:r>
              <w:rPr>
                <w:b/>
                <w:color w:val="002B49"/>
                <w:sz w:val="19"/>
              </w:rPr>
              <w:t>Location / Coverage</w:t>
            </w:r>
          </w:p>
        </w:tc>
        <w:tc>
          <w:tcPr>
            <w:tcW w:w="7143" w:type="dxa"/>
          </w:tcPr>
          <w:p w14:paraId="74F60942">
            <w:pPr>
              <w:spacing w:before="20" w:after="20" w:line="240" w:lineRule="auto"/>
            </w:pPr>
            <w:r>
              <w:rPr>
                <w:sz w:val="19"/>
              </w:rPr>
              <w:t>Upper Mount Gravatt, Woodridge, Loganlea and Brisbane South (scan-recorded)</w:t>
            </w:r>
          </w:p>
        </w:tc>
      </w:tr>
      <w:tr w14:paraId="14AA1B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30" w:type="dxa"/>
            <w:left w:w="80" w:type="dxa"/>
            <w:bottom w:w="30" w:type="dxa"/>
            <w:right w:w="80" w:type="dxa"/>
          </w:tblCellMar>
        </w:tblPrEx>
        <w:tc>
          <w:tcPr>
            <w:tcW w:w="2494" w:type="dxa"/>
            <w:shd w:val="clear" w:color="auto" w:fill="E8F4FD"/>
          </w:tcPr>
          <w:p w14:paraId="748DD59D">
            <w:pPr>
              <w:spacing w:before="20" w:after="20" w:line="240" w:lineRule="auto"/>
            </w:pPr>
            <w:r>
              <w:rPr>
                <w:b/>
                <w:color w:val="002B49"/>
                <w:sz w:val="19"/>
              </w:rPr>
              <w:t>Phone</w:t>
            </w:r>
          </w:p>
        </w:tc>
        <w:tc>
          <w:tcPr>
            <w:tcW w:w="7143" w:type="dxa"/>
          </w:tcPr>
          <w:p w14:paraId="5DF29F7E">
            <w:pPr>
              <w:spacing w:before="20" w:after="20" w:line="240" w:lineRule="auto"/>
            </w:pPr>
            <w:r>
              <w:rPr>
                <w:sz w:val="19"/>
              </w:rPr>
              <w:t>1300 080 856</w:t>
            </w:r>
          </w:p>
        </w:tc>
      </w:tr>
      <w:tr w14:paraId="44A833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30" w:type="dxa"/>
            <w:left w:w="80" w:type="dxa"/>
            <w:bottom w:w="30" w:type="dxa"/>
            <w:right w:w="80" w:type="dxa"/>
          </w:tblCellMar>
        </w:tblPrEx>
        <w:tc>
          <w:tcPr>
            <w:tcW w:w="2494" w:type="dxa"/>
            <w:shd w:val="clear" w:color="auto" w:fill="E8F4FD"/>
          </w:tcPr>
          <w:p w14:paraId="5C4595EB">
            <w:pPr>
              <w:spacing w:before="20" w:after="20" w:line="240" w:lineRule="auto"/>
            </w:pPr>
            <w:r>
              <w:rPr>
                <w:b/>
                <w:color w:val="002B49"/>
                <w:sz w:val="19"/>
              </w:rPr>
              <w:t>Email</w:t>
            </w:r>
          </w:p>
        </w:tc>
        <w:tc>
          <w:tcPr>
            <w:tcW w:w="7143" w:type="dxa"/>
          </w:tcPr>
          <w:p w14:paraId="0163A189">
            <w:pPr>
              <w:spacing w:before="20" w:after="20" w:line="240" w:lineRule="auto"/>
            </w:pPr>
            <w:r>
              <w:rPr>
                <w:sz w:val="19"/>
              </w:rPr>
              <w:t>contact@atworkaustralia.com.au</w:t>
            </w:r>
          </w:p>
        </w:tc>
      </w:tr>
      <w:tr w14:paraId="56150A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30" w:type="dxa"/>
            <w:left w:w="80" w:type="dxa"/>
            <w:bottom w:w="30" w:type="dxa"/>
            <w:right w:w="80" w:type="dxa"/>
          </w:tblCellMar>
        </w:tblPrEx>
        <w:tc>
          <w:tcPr>
            <w:tcW w:w="2494" w:type="dxa"/>
            <w:shd w:val="clear" w:color="auto" w:fill="E8F4FD"/>
          </w:tcPr>
          <w:p w14:paraId="08880618">
            <w:pPr>
              <w:spacing w:before="20" w:after="20" w:line="240" w:lineRule="auto"/>
            </w:pPr>
            <w:r>
              <w:rPr>
                <w:b/>
                <w:color w:val="002B49"/>
                <w:sz w:val="19"/>
              </w:rPr>
              <w:t>Website</w:t>
            </w:r>
          </w:p>
        </w:tc>
        <w:tc>
          <w:tcPr>
            <w:tcW w:w="7143" w:type="dxa"/>
          </w:tcPr>
          <w:p w14:paraId="297736BF">
            <w:pPr>
              <w:spacing w:before="20" w:after="20" w:line="240" w:lineRule="auto"/>
            </w:pPr>
            <w:r>
              <w:fldChar w:fldCharType="begin"/>
            </w:r>
            <w:r>
              <w:instrText xml:space="preserve"> HYPERLINK "https://www.atworkaustralia.com.au/iea/" \h </w:instrText>
            </w:r>
            <w:r>
              <w:fldChar w:fldCharType="separate"/>
            </w:r>
            <w:r>
              <w:rPr>
                <w:rFonts w:ascii="Calibri" w:hAnsi="Calibri"/>
                <w:color w:val="0066CC"/>
                <w:sz w:val="19"/>
                <w:u w:val="single"/>
              </w:rPr>
              <w:t>https://www.atworkaustralia.com.au/iea/</w:t>
            </w:r>
            <w:r>
              <w:rPr>
                <w:rFonts w:ascii="Calibri" w:hAnsi="Calibri"/>
                <w:color w:val="0066CC"/>
                <w:sz w:val="19"/>
                <w:u w:val="single"/>
              </w:rPr>
              <w:fldChar w:fldCharType="end"/>
            </w:r>
          </w:p>
        </w:tc>
      </w:tr>
      <w:tr w14:paraId="1C886B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30" w:type="dxa"/>
            <w:left w:w="80" w:type="dxa"/>
            <w:bottom w:w="30" w:type="dxa"/>
            <w:right w:w="80" w:type="dxa"/>
          </w:tblCellMar>
        </w:tblPrEx>
        <w:tc>
          <w:tcPr>
            <w:tcW w:w="2494" w:type="dxa"/>
            <w:shd w:val="clear" w:color="auto" w:fill="E8F4FD"/>
          </w:tcPr>
          <w:p w14:paraId="2C56B843">
            <w:pPr>
              <w:spacing w:before="20" w:after="20" w:line="240" w:lineRule="auto"/>
            </w:pPr>
            <w:r>
              <w:rPr>
                <w:b/>
                <w:color w:val="002B49"/>
                <w:sz w:val="19"/>
              </w:rPr>
              <w:t>Verification Status</w:t>
            </w:r>
          </w:p>
        </w:tc>
        <w:tc>
          <w:tcPr>
            <w:tcW w:w="7143" w:type="dxa"/>
          </w:tcPr>
          <w:p w14:paraId="588A7931">
            <w:pPr>
              <w:spacing w:before="20" w:after="20" w:line="240" w:lineRule="auto"/>
            </w:pPr>
            <w:r>
              <w:rPr>
                <w:sz w:val="19"/>
              </w:rPr>
              <w:t>REQUIRES VERIFICATION — environmental scan record from official provider pages.</w:t>
            </w:r>
          </w:p>
        </w:tc>
      </w:tr>
    </w:tbl>
    <w:p w14:paraId="302A40B8">
      <w:pPr>
        <w:pStyle w:val="4"/>
      </w:pPr>
      <w:r>
        <w:rPr>
          <w:color w:val="002B49"/>
        </w:rPr>
        <w:t>Settlement Services International (SSI) — IEA Queensland</w:t>
      </w:r>
    </w:p>
    <w:tbl>
      <w:tblPr>
        <w:tblStyle w:val="3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30" w:type="dxa"/>
          <w:left w:w="80" w:type="dxa"/>
          <w:bottom w:w="30" w:type="dxa"/>
          <w:right w:w="80" w:type="dxa"/>
        </w:tblCellMar>
      </w:tblPr>
      <w:tblGrid>
        <w:gridCol w:w="4819"/>
        <w:gridCol w:w="4819"/>
      </w:tblGrid>
      <w:tr w14:paraId="5DC321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30" w:type="dxa"/>
            <w:left w:w="80" w:type="dxa"/>
            <w:bottom w:w="30" w:type="dxa"/>
            <w:right w:w="80" w:type="dxa"/>
          </w:tblCellMar>
        </w:tblPrEx>
        <w:tc>
          <w:tcPr>
            <w:tcW w:w="2494" w:type="dxa"/>
            <w:shd w:val="clear" w:color="auto" w:fill="E8F4FD"/>
          </w:tcPr>
          <w:p w14:paraId="5474BC45">
            <w:pPr>
              <w:spacing w:before="20" w:after="20" w:line="240" w:lineRule="auto"/>
            </w:pPr>
            <w:r>
              <w:rPr>
                <w:b/>
                <w:color w:val="002B49"/>
                <w:sz w:val="19"/>
              </w:rPr>
              <w:t>Organisation</w:t>
            </w:r>
          </w:p>
        </w:tc>
        <w:tc>
          <w:tcPr>
            <w:tcW w:w="7143" w:type="dxa"/>
          </w:tcPr>
          <w:p w14:paraId="40E8098F">
            <w:pPr>
              <w:spacing w:before="20" w:after="20" w:line="240" w:lineRule="auto"/>
            </w:pPr>
            <w:r>
              <w:rPr>
                <w:sz w:val="19"/>
              </w:rPr>
              <w:t>Settlement Services International (SSI)</w:t>
            </w:r>
          </w:p>
        </w:tc>
      </w:tr>
      <w:tr w14:paraId="57DAA1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30" w:type="dxa"/>
            <w:left w:w="80" w:type="dxa"/>
            <w:bottom w:w="30" w:type="dxa"/>
            <w:right w:w="80" w:type="dxa"/>
          </w:tblCellMar>
        </w:tblPrEx>
        <w:tc>
          <w:tcPr>
            <w:tcW w:w="2494" w:type="dxa"/>
            <w:shd w:val="clear" w:color="auto" w:fill="E8F4FD"/>
          </w:tcPr>
          <w:p w14:paraId="6FBE6888">
            <w:pPr>
              <w:spacing w:before="20" w:after="20" w:line="240" w:lineRule="auto"/>
            </w:pPr>
            <w:r>
              <w:rPr>
                <w:b/>
                <w:color w:val="002B49"/>
                <w:sz w:val="19"/>
              </w:rPr>
              <w:t>Program / Service</w:t>
            </w:r>
          </w:p>
        </w:tc>
        <w:tc>
          <w:tcPr>
            <w:tcW w:w="7143" w:type="dxa"/>
          </w:tcPr>
          <w:p w14:paraId="7115AEBE">
            <w:pPr>
              <w:spacing w:before="20" w:after="20" w:line="240" w:lineRule="auto"/>
            </w:pPr>
            <w:r>
              <w:rPr>
                <w:sz w:val="19"/>
              </w:rPr>
              <w:t>Inclusive Employment Australia (IEA)</w:t>
            </w:r>
          </w:p>
        </w:tc>
      </w:tr>
      <w:tr w14:paraId="4B0325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30" w:type="dxa"/>
            <w:left w:w="80" w:type="dxa"/>
            <w:bottom w:w="30" w:type="dxa"/>
            <w:right w:w="80" w:type="dxa"/>
          </w:tblCellMar>
        </w:tblPrEx>
        <w:tc>
          <w:tcPr>
            <w:tcW w:w="2494" w:type="dxa"/>
            <w:shd w:val="clear" w:color="auto" w:fill="E8F4FD"/>
          </w:tcPr>
          <w:p w14:paraId="54D35F20">
            <w:pPr>
              <w:spacing w:before="20" w:after="20" w:line="240" w:lineRule="auto"/>
            </w:pPr>
            <w:r>
              <w:rPr>
                <w:b/>
                <w:color w:val="002B49"/>
                <w:sz w:val="19"/>
              </w:rPr>
              <w:t>Service Description</w:t>
            </w:r>
          </w:p>
        </w:tc>
        <w:tc>
          <w:tcPr>
            <w:tcW w:w="7143" w:type="dxa"/>
          </w:tcPr>
          <w:p w14:paraId="67200AF6">
            <w:pPr>
              <w:spacing w:before="20" w:after="20" w:line="240" w:lineRule="auto"/>
            </w:pPr>
            <w:r>
              <w:rPr>
                <w:sz w:val="19"/>
              </w:rPr>
              <w:t>Employment support for refugees with disability, injury or health conditions, including help getting overseas qualifications recognised, job preparation and placement.</w:t>
            </w:r>
          </w:p>
        </w:tc>
      </w:tr>
      <w:tr w14:paraId="18BF90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30" w:type="dxa"/>
            <w:left w:w="80" w:type="dxa"/>
            <w:bottom w:w="30" w:type="dxa"/>
            <w:right w:w="80" w:type="dxa"/>
          </w:tblCellMar>
        </w:tblPrEx>
        <w:tc>
          <w:tcPr>
            <w:tcW w:w="2494" w:type="dxa"/>
            <w:shd w:val="clear" w:color="auto" w:fill="E8F4FD"/>
          </w:tcPr>
          <w:p w14:paraId="76ABB296">
            <w:pPr>
              <w:spacing w:before="20" w:after="20" w:line="240" w:lineRule="auto"/>
            </w:pPr>
            <w:r>
              <w:rPr>
                <w:b/>
                <w:color w:val="002B49"/>
                <w:sz w:val="19"/>
              </w:rPr>
              <w:t>Who They Support</w:t>
            </w:r>
          </w:p>
        </w:tc>
        <w:tc>
          <w:tcPr>
            <w:tcW w:w="7143" w:type="dxa"/>
          </w:tcPr>
          <w:p w14:paraId="4D1557B9">
            <w:pPr>
              <w:spacing w:before="20" w:after="20" w:line="240" w:lineRule="auto"/>
            </w:pPr>
            <w:r>
              <w:rPr>
                <w:sz w:val="19"/>
              </w:rPr>
              <w:t>Refugees with disability, injury or health condition who satisfy IEA eligibility requirements</w:t>
            </w:r>
          </w:p>
        </w:tc>
      </w:tr>
      <w:tr w14:paraId="5B642F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30" w:type="dxa"/>
            <w:left w:w="80" w:type="dxa"/>
            <w:bottom w:w="30" w:type="dxa"/>
            <w:right w:w="80" w:type="dxa"/>
          </w:tblCellMar>
        </w:tblPrEx>
        <w:tc>
          <w:tcPr>
            <w:tcW w:w="2494" w:type="dxa"/>
            <w:shd w:val="clear" w:color="auto" w:fill="E8F4FD"/>
          </w:tcPr>
          <w:p w14:paraId="7E79EC58">
            <w:pPr>
              <w:spacing w:before="20" w:after="20" w:line="240" w:lineRule="auto"/>
            </w:pPr>
            <w:r>
              <w:rPr>
                <w:b/>
                <w:color w:val="002B49"/>
                <w:sz w:val="19"/>
              </w:rPr>
              <w:t>Location / Coverage</w:t>
            </w:r>
          </w:p>
        </w:tc>
        <w:tc>
          <w:tcPr>
            <w:tcW w:w="7143" w:type="dxa"/>
          </w:tcPr>
          <w:p w14:paraId="7E8BADB2">
            <w:pPr>
              <w:spacing w:before="20" w:after="20" w:line="240" w:lineRule="auto"/>
            </w:pPr>
            <w:r>
              <w:rPr>
                <w:sz w:val="19"/>
              </w:rPr>
              <w:t>Multiple Queensland sites including Moorooka, Sunnybank Hills, Kingston, Logan Central and Upper Mount Gravatt (scan-recorded)</w:t>
            </w:r>
          </w:p>
        </w:tc>
      </w:tr>
      <w:tr w14:paraId="7CC1F1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30" w:type="dxa"/>
            <w:left w:w="80" w:type="dxa"/>
            <w:bottom w:w="30" w:type="dxa"/>
            <w:right w:w="80" w:type="dxa"/>
          </w:tblCellMar>
        </w:tblPrEx>
        <w:tc>
          <w:tcPr>
            <w:tcW w:w="2494" w:type="dxa"/>
            <w:shd w:val="clear" w:color="auto" w:fill="E8F4FD"/>
          </w:tcPr>
          <w:p w14:paraId="28AC1548">
            <w:pPr>
              <w:spacing w:before="20" w:after="20" w:line="240" w:lineRule="auto"/>
            </w:pPr>
            <w:r>
              <w:rPr>
                <w:b/>
                <w:color w:val="002B49"/>
                <w:sz w:val="19"/>
              </w:rPr>
              <w:t>Phone</w:t>
            </w:r>
          </w:p>
        </w:tc>
        <w:tc>
          <w:tcPr>
            <w:tcW w:w="7143" w:type="dxa"/>
          </w:tcPr>
          <w:p w14:paraId="6C05B407">
            <w:pPr>
              <w:spacing w:before="20" w:after="20" w:line="240" w:lineRule="auto"/>
            </w:pPr>
            <w:r>
              <w:rPr>
                <w:sz w:val="19"/>
              </w:rPr>
              <w:t>1800 299 487</w:t>
            </w:r>
          </w:p>
        </w:tc>
      </w:tr>
      <w:tr w14:paraId="035542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30" w:type="dxa"/>
            <w:left w:w="80" w:type="dxa"/>
            <w:bottom w:w="30" w:type="dxa"/>
            <w:right w:w="80" w:type="dxa"/>
          </w:tblCellMar>
        </w:tblPrEx>
        <w:tc>
          <w:tcPr>
            <w:tcW w:w="2494" w:type="dxa"/>
            <w:shd w:val="clear" w:color="auto" w:fill="E8F4FD"/>
          </w:tcPr>
          <w:p w14:paraId="2BCA785D">
            <w:pPr>
              <w:spacing w:before="20" w:after="20" w:line="240" w:lineRule="auto"/>
            </w:pPr>
            <w:r>
              <w:rPr>
                <w:b/>
                <w:color w:val="002B49"/>
                <w:sz w:val="19"/>
              </w:rPr>
              <w:t>Email</w:t>
            </w:r>
          </w:p>
        </w:tc>
        <w:tc>
          <w:tcPr>
            <w:tcW w:w="7143" w:type="dxa"/>
          </w:tcPr>
          <w:p w14:paraId="0B4AED6D">
            <w:pPr>
              <w:spacing w:before="20" w:after="20" w:line="240" w:lineRule="auto"/>
            </w:pPr>
            <w:r>
              <w:rPr>
                <w:sz w:val="19"/>
              </w:rPr>
              <w:t>iea.qld@ssi.org.au</w:t>
            </w:r>
          </w:p>
        </w:tc>
      </w:tr>
      <w:tr w14:paraId="155AD8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30" w:type="dxa"/>
            <w:left w:w="80" w:type="dxa"/>
            <w:bottom w:w="30" w:type="dxa"/>
            <w:right w:w="80" w:type="dxa"/>
          </w:tblCellMar>
        </w:tblPrEx>
        <w:tc>
          <w:tcPr>
            <w:tcW w:w="2494" w:type="dxa"/>
            <w:shd w:val="clear" w:color="auto" w:fill="E8F4FD"/>
          </w:tcPr>
          <w:p w14:paraId="336DBB7C">
            <w:pPr>
              <w:spacing w:before="20" w:after="20" w:line="240" w:lineRule="auto"/>
            </w:pPr>
            <w:r>
              <w:rPr>
                <w:b/>
                <w:color w:val="002B49"/>
                <w:sz w:val="19"/>
              </w:rPr>
              <w:t>Website</w:t>
            </w:r>
          </w:p>
        </w:tc>
        <w:tc>
          <w:tcPr>
            <w:tcW w:w="7143" w:type="dxa"/>
          </w:tcPr>
          <w:p w14:paraId="33A1783D">
            <w:pPr>
              <w:spacing w:before="20" w:after="20" w:line="240" w:lineRule="auto"/>
            </w:pPr>
            <w:r>
              <w:fldChar w:fldCharType="begin"/>
            </w:r>
            <w:r>
              <w:instrText xml:space="preserve"> HYPERLINK "https://www.ssi.org.au/our-services/employment/inclusive-employment-australia/" \h </w:instrText>
            </w:r>
            <w:r>
              <w:fldChar w:fldCharType="separate"/>
            </w:r>
            <w:r>
              <w:rPr>
                <w:rFonts w:ascii="Calibri" w:hAnsi="Calibri"/>
                <w:color w:val="0066CC"/>
                <w:sz w:val="19"/>
                <w:u w:val="single"/>
              </w:rPr>
              <w:t>https://www.ssi.org.au/our-services/employment/inclusive-employment-australia/</w:t>
            </w:r>
            <w:r>
              <w:rPr>
                <w:rFonts w:ascii="Calibri" w:hAnsi="Calibri"/>
                <w:color w:val="0066CC"/>
                <w:sz w:val="19"/>
                <w:u w:val="single"/>
              </w:rPr>
              <w:fldChar w:fldCharType="end"/>
            </w:r>
          </w:p>
        </w:tc>
      </w:tr>
      <w:tr w14:paraId="45C30F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30" w:type="dxa"/>
            <w:left w:w="80" w:type="dxa"/>
            <w:bottom w:w="30" w:type="dxa"/>
            <w:right w:w="80" w:type="dxa"/>
          </w:tblCellMar>
        </w:tblPrEx>
        <w:tc>
          <w:tcPr>
            <w:tcW w:w="2494" w:type="dxa"/>
            <w:shd w:val="clear" w:color="auto" w:fill="E8F4FD"/>
          </w:tcPr>
          <w:p w14:paraId="132792C6">
            <w:pPr>
              <w:spacing w:before="20" w:after="20" w:line="240" w:lineRule="auto"/>
            </w:pPr>
            <w:r>
              <w:rPr>
                <w:b/>
                <w:color w:val="002B49"/>
                <w:sz w:val="19"/>
              </w:rPr>
              <w:t>Referral / Intake</w:t>
            </w:r>
          </w:p>
        </w:tc>
        <w:tc>
          <w:tcPr>
            <w:tcW w:w="7143" w:type="dxa"/>
          </w:tcPr>
          <w:p w14:paraId="4717CB17">
            <w:pPr>
              <w:spacing w:before="20" w:after="20" w:line="240" w:lineRule="auto"/>
            </w:pPr>
            <w:r>
              <w:rPr>
                <w:sz w:val="19"/>
              </w:rPr>
              <w:t>Participant completes an SSI referral/application; a Services Australia assessment may apply</w:t>
            </w:r>
          </w:p>
        </w:tc>
      </w:tr>
      <w:tr w14:paraId="3F0D71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30" w:type="dxa"/>
            <w:left w:w="80" w:type="dxa"/>
            <w:bottom w:w="30" w:type="dxa"/>
            <w:right w:w="80" w:type="dxa"/>
          </w:tblCellMar>
        </w:tblPrEx>
        <w:tc>
          <w:tcPr>
            <w:tcW w:w="2494" w:type="dxa"/>
            <w:shd w:val="clear" w:color="auto" w:fill="E8F4FD"/>
          </w:tcPr>
          <w:p w14:paraId="5A9B5DD0">
            <w:pPr>
              <w:spacing w:before="20" w:after="20" w:line="240" w:lineRule="auto"/>
            </w:pPr>
            <w:r>
              <w:rPr>
                <w:b/>
                <w:color w:val="002B49"/>
                <w:sz w:val="19"/>
              </w:rPr>
              <w:t>Verification Status</w:t>
            </w:r>
          </w:p>
        </w:tc>
        <w:tc>
          <w:tcPr>
            <w:tcW w:w="7143" w:type="dxa"/>
          </w:tcPr>
          <w:p w14:paraId="03F5EAAB">
            <w:pPr>
              <w:spacing w:before="20" w:after="20" w:line="240" w:lineRule="auto"/>
            </w:pPr>
            <w:r>
              <w:rPr>
                <w:sz w:val="19"/>
              </w:rPr>
              <w:t>REQUIRES VERIFICATION — environmental scan record; eligibility is narrow (refugees with disability/injury/health condition satisfying IEA rules).</w:t>
            </w:r>
          </w:p>
        </w:tc>
      </w:tr>
    </w:tbl>
    <w:p w14:paraId="06D73974">
      <w:r>
        <w:br w:type="page"/>
      </w:r>
    </w:p>
    <w:p w14:paraId="3BDAA834">
      <w:pPr>
        <w:pStyle w:val="2"/>
      </w:pPr>
      <w:r>
        <w:rPr>
          <w:color w:val="002B49"/>
        </w:rPr>
        <w:t>7. AMEP (Adult Migrant English Program)</w:t>
      </w:r>
    </w:p>
    <w:p w14:paraId="597AC03F">
      <w:pPr>
        <w:spacing w:before="0" w:after="120"/>
      </w:pPr>
      <w:r>
        <w:rPr>
          <w:b w:val="0"/>
          <w:i w:val="0"/>
          <w:sz w:val="21"/>
        </w:rPr>
        <w:t>The Adult Migrant English Program (AMEP) is funded by the Department of Home Affairs and is a free language tuition service that helps eligible migrants and humanitarian entrants with low English levels to improve their English language skills and settle into Australia.</w:t>
      </w:r>
    </w:p>
    <w:p w14:paraId="3606345F">
      <w:pPr>
        <w:spacing w:before="0" w:after="120"/>
      </w:pPr>
      <w:r>
        <w:rPr>
          <w:b w:val="0"/>
          <w:i w:val="0"/>
          <w:sz w:val="21"/>
        </w:rPr>
        <w:t>In an AMEP class, students learn English language skills and information about Australian society, and meet other new arrivals with similar backgrounds, experiences and goals. When in an AMEP class, free childcare is available for children under school age; AMEP providers assist clients to access the Childcare Placement Service. AMEP is delivered by approved service providers with classes taught by teachers trained to teach English to speakers of other languages.</w:t>
      </w:r>
    </w:p>
    <w:p w14:paraId="73ABD0A3">
      <w:pPr>
        <w:pStyle w:val="3"/>
      </w:pPr>
      <w:r>
        <w:rPr>
          <w:color w:val="0066CC"/>
        </w:rPr>
        <w:t>7.1 Eligibility</w:t>
      </w:r>
    </w:p>
    <w:p w14:paraId="7FCA48E0">
      <w:pPr>
        <w:spacing w:before="0" w:after="120"/>
      </w:pPr>
      <w:r>
        <w:rPr>
          <w:b w:val="0"/>
          <w:i w:val="0"/>
          <w:sz w:val="21"/>
        </w:rPr>
        <w:t>If a client is 18 or over, they can join the AMEP if they speak little or no English, or need to improve their English skills, and they:</w:t>
      </w:r>
    </w:p>
    <w:p w14:paraId="56409FEC">
      <w:pPr>
        <w:pStyle w:val="23"/>
        <w:spacing w:before="0" w:after="40"/>
      </w:pPr>
      <w:r>
        <w:rPr>
          <w:b w:val="0"/>
          <w:i w:val="0"/>
          <w:sz w:val="21"/>
        </w:rPr>
        <w:t>Are a permanent resident, or</w:t>
      </w:r>
    </w:p>
    <w:p w14:paraId="63D1B16A">
      <w:pPr>
        <w:pStyle w:val="23"/>
        <w:spacing w:before="0" w:after="40"/>
      </w:pPr>
      <w:r>
        <w:rPr>
          <w:b w:val="0"/>
          <w:i w:val="0"/>
          <w:sz w:val="21"/>
        </w:rPr>
        <w:t>Are a principal visa holder or their dependent with a permanent visa, or</w:t>
      </w:r>
    </w:p>
    <w:p w14:paraId="279D911F">
      <w:pPr>
        <w:pStyle w:val="23"/>
        <w:spacing w:before="0" w:after="40"/>
      </w:pPr>
      <w:r>
        <w:rPr>
          <w:b w:val="0"/>
          <w:i w:val="0"/>
          <w:sz w:val="21"/>
        </w:rPr>
        <w:t>Hold an eligible temporary visa, or</w:t>
      </w:r>
    </w:p>
    <w:p w14:paraId="009104B5">
      <w:pPr>
        <w:pStyle w:val="23"/>
        <w:spacing w:before="0" w:after="40"/>
      </w:pPr>
      <w:r>
        <w:rPr>
          <w:b w:val="0"/>
          <w:i w:val="0"/>
          <w:sz w:val="21"/>
        </w:rPr>
        <w:t>Are a citizen who held an eligible visa in the past.</w:t>
      </w:r>
    </w:p>
    <w:p w14:paraId="0C1FF347">
      <w:pPr>
        <w:spacing w:before="0" w:after="120"/>
      </w:pPr>
      <w:r>
        <w:rPr>
          <w:b w:val="0"/>
          <w:i w:val="0"/>
          <w:sz w:val="21"/>
        </w:rPr>
        <w:t>Clients aged 15 to 17 may also be able to join the AMEP — talk to the local provider for further details. Eligible clients complete a language assessment prior to enrolment. Clients who have not yet attained a vocational level three of English are eligible to take part in the program.</w:t>
      </w:r>
    </w:p>
    <w:p w14:paraId="25004A5C">
      <w:pPr>
        <w:pStyle w:val="3"/>
      </w:pPr>
      <w:r>
        <w:rPr>
          <w:color w:val="0066CC"/>
        </w:rPr>
        <w:t>7.2 Duration</w:t>
      </w:r>
    </w:p>
    <w:p w14:paraId="2296438E">
      <w:pPr>
        <w:spacing w:before="0" w:after="120"/>
      </w:pPr>
      <w:r>
        <w:rPr>
          <w:b w:val="0"/>
          <w:i w:val="0"/>
          <w:sz w:val="21"/>
        </w:rPr>
        <w:t>Visa start dates decide the time a client has to join and learn English with the AMEP. Clients who arrived in Australia on or before 1 October 2020 can stay in the AMEP until they reach a vocational level of English, with no time limits for starting and finishing. Clients who arrived after 1 October 2020 must register with an AMEP provider within 6 months (or 12 months if under 18), start their course within 12 months, and complete their course within 5 years. In some cases they may be allowed to register later or stay longer — talk to the AMEP provider.</w:t>
      </w:r>
    </w:p>
    <w:p w14:paraId="566ADA9E">
      <w:pPr>
        <w:pStyle w:val="3"/>
      </w:pPr>
      <w:r>
        <w:rPr>
          <w:color w:val="0066CC"/>
        </w:rPr>
        <w:t>7.3 Delivery</w:t>
      </w:r>
    </w:p>
    <w:p w14:paraId="557F9BB0">
      <w:pPr>
        <w:spacing w:before="0" w:after="120"/>
      </w:pPr>
      <w:r>
        <w:rPr>
          <w:b w:val="0"/>
          <w:i w:val="0"/>
          <w:sz w:val="21"/>
        </w:rPr>
        <w:t>With the AMEP a client can go to face-to-face classes, join a class online using their own phone or computer via AMEPOnline, or learn remotely by distance learning supported by a teacher online. There are full-time, part-time, evening and weekend options. Clients may also get help from a volunteer tutor through the Volunteer Tutor Scheme (VTS), by referral from their AMEP provider. All AMEP classes are free of charge and funded by the Australian Government Department of Home Affairs.</w:t>
      </w:r>
    </w:p>
    <w:p w14:paraId="4E705C53">
      <w:pPr>
        <w:pStyle w:val="3"/>
      </w:pPr>
      <w:r>
        <w:rPr>
          <w:color w:val="0066CC"/>
        </w:rPr>
        <w:t>7.4 AMEP Locations</w:t>
      </w:r>
    </w:p>
    <w:p w14:paraId="67530F09">
      <w:pPr>
        <w:spacing w:before="0" w:after="120"/>
      </w:pPr>
      <w:r>
        <w:rPr>
          <w:b w:val="0"/>
          <w:i w:val="0"/>
          <w:sz w:val="21"/>
        </w:rPr>
        <w:t>The AMEP is delivered at around 300 locations across Australia, in major cities as well as regional and remote areas. Clients can choose face-to-face classes, online, or distance learning. For information on providers and locations, see the AMEP Providers and Locations page on the Department of Home Affairs website. If a client cannot attend classes because they live more than 50 kilometres from an AMEP site or for physical, cultural, religious, care-giver or other reasons, contact the distance learning provider.</w:t>
      </w:r>
    </w:p>
    <w:p w14:paraId="49A57575">
      <w:pPr>
        <w:pStyle w:val="3"/>
      </w:pPr>
      <w:r>
        <w:rPr>
          <w:color w:val="0066CC"/>
        </w:rPr>
        <w:t>7.5 AMEP for Job Seekers</w:t>
      </w:r>
    </w:p>
    <w:p w14:paraId="5C73B25A">
      <w:pPr>
        <w:spacing w:before="0" w:after="120"/>
      </w:pPr>
      <w:r>
        <w:rPr>
          <w:b w:val="0"/>
          <w:i w:val="0"/>
          <w:sz w:val="21"/>
        </w:rPr>
        <w:t>For migrants receiving Centrelink payments, learning English in the AMEP may meet some or all of their mutual obligation requirements. Clients can be referred to AMEP by their Workforce Australia provider. If a client is already learning English with the AMEP and is then registered with a Workforce Australia provider, they should advise their provider at their initial appointment and can continue to earn PBAS points for participating in the AMEP.</w:t>
      </w:r>
    </w:p>
    <w:p w14:paraId="2160ECF9">
      <w:pPr>
        <w:spacing w:before="0" w:after="120"/>
      </w:pPr>
      <w:r>
        <w:rPr>
          <w:b w:val="0"/>
          <w:i w:val="0"/>
          <w:sz w:val="21"/>
        </w:rPr>
        <w:t>See ATTACHMENT E for AMEP and English providers in the region.</w:t>
      </w:r>
    </w:p>
    <w:p w14:paraId="22044077">
      <w:r>
        <w:br w:type="page"/>
      </w:r>
    </w:p>
    <w:p w14:paraId="1CD42BBD">
      <w:pPr>
        <w:pStyle w:val="2"/>
      </w:pPr>
      <w:r>
        <w:rPr>
          <w:color w:val="002B49"/>
        </w:rPr>
        <w:t>8. AMEP Providers in the Brisbane South East Region</w:t>
      </w:r>
    </w:p>
    <w:p w14:paraId="388C347D">
      <w:pPr>
        <w:spacing w:before="0" w:after="120"/>
      </w:pPr>
      <w:r>
        <w:rPr>
          <w:b w:val="0"/>
          <w:i w:val="0"/>
          <w:sz w:val="21"/>
        </w:rPr>
        <w:t>The following AMEP providers were identified in the Brisbane South East environmental scan. All AMEP services are free and funded by the Department of Home Affairs. Confirm current class locations and enrolment processes directly with each provider.</w:t>
      </w:r>
    </w:p>
    <w:p w14:paraId="5A289E9F">
      <w:pPr>
        <w:pStyle w:val="4"/>
      </w:pPr>
      <w:r>
        <w:rPr>
          <w:color w:val="002B49"/>
        </w:rPr>
        <w:t>TAFE Queensland — AMEP</w:t>
      </w:r>
    </w:p>
    <w:tbl>
      <w:tblPr>
        <w:tblStyle w:val="3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30" w:type="dxa"/>
          <w:left w:w="80" w:type="dxa"/>
          <w:bottom w:w="30" w:type="dxa"/>
          <w:right w:w="80" w:type="dxa"/>
        </w:tblCellMar>
      </w:tblPr>
      <w:tblGrid>
        <w:gridCol w:w="4819"/>
        <w:gridCol w:w="4819"/>
      </w:tblGrid>
      <w:tr w14:paraId="1E3562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30" w:type="dxa"/>
            <w:left w:w="80" w:type="dxa"/>
            <w:bottom w:w="30" w:type="dxa"/>
            <w:right w:w="80" w:type="dxa"/>
          </w:tblCellMar>
        </w:tblPrEx>
        <w:tc>
          <w:tcPr>
            <w:tcW w:w="2494" w:type="dxa"/>
            <w:shd w:val="clear" w:color="auto" w:fill="E8F4FD"/>
          </w:tcPr>
          <w:p w14:paraId="746EE072">
            <w:pPr>
              <w:spacing w:before="20" w:after="20" w:line="240" w:lineRule="auto"/>
            </w:pPr>
            <w:r>
              <w:rPr>
                <w:b/>
                <w:color w:val="002B49"/>
                <w:sz w:val="19"/>
              </w:rPr>
              <w:t>Organisation</w:t>
            </w:r>
          </w:p>
        </w:tc>
        <w:tc>
          <w:tcPr>
            <w:tcW w:w="7143" w:type="dxa"/>
          </w:tcPr>
          <w:p w14:paraId="3E07552B">
            <w:pPr>
              <w:spacing w:before="20" w:after="20" w:line="240" w:lineRule="auto"/>
            </w:pPr>
            <w:r>
              <w:rPr>
                <w:sz w:val="19"/>
              </w:rPr>
              <w:t>TAFE Queensland</w:t>
            </w:r>
          </w:p>
        </w:tc>
      </w:tr>
      <w:tr w14:paraId="355BC7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30" w:type="dxa"/>
            <w:left w:w="80" w:type="dxa"/>
            <w:bottom w:w="30" w:type="dxa"/>
            <w:right w:w="80" w:type="dxa"/>
          </w:tblCellMar>
        </w:tblPrEx>
        <w:tc>
          <w:tcPr>
            <w:tcW w:w="2494" w:type="dxa"/>
            <w:shd w:val="clear" w:color="auto" w:fill="E8F4FD"/>
          </w:tcPr>
          <w:p w14:paraId="39F59E05">
            <w:pPr>
              <w:spacing w:before="20" w:after="20" w:line="240" w:lineRule="auto"/>
            </w:pPr>
            <w:r>
              <w:rPr>
                <w:b/>
                <w:color w:val="002B49"/>
                <w:sz w:val="19"/>
              </w:rPr>
              <w:t>Program / Service</w:t>
            </w:r>
          </w:p>
        </w:tc>
        <w:tc>
          <w:tcPr>
            <w:tcW w:w="7143" w:type="dxa"/>
          </w:tcPr>
          <w:p w14:paraId="05E9736C">
            <w:pPr>
              <w:spacing w:before="20" w:after="20" w:line="240" w:lineRule="auto"/>
            </w:pPr>
            <w:r>
              <w:rPr>
                <w:sz w:val="19"/>
              </w:rPr>
              <w:t>Adult Migrant English Program (AMEP)</w:t>
            </w:r>
          </w:p>
        </w:tc>
      </w:tr>
      <w:tr w14:paraId="63D888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30" w:type="dxa"/>
            <w:left w:w="80" w:type="dxa"/>
            <w:bottom w:w="30" w:type="dxa"/>
            <w:right w:w="80" w:type="dxa"/>
          </w:tblCellMar>
        </w:tblPrEx>
        <w:tc>
          <w:tcPr>
            <w:tcW w:w="2494" w:type="dxa"/>
            <w:shd w:val="clear" w:color="auto" w:fill="E8F4FD"/>
          </w:tcPr>
          <w:p w14:paraId="49D111EB">
            <w:pPr>
              <w:spacing w:before="20" w:after="20" w:line="240" w:lineRule="auto"/>
            </w:pPr>
            <w:r>
              <w:rPr>
                <w:b/>
                <w:color w:val="002B49"/>
                <w:sz w:val="19"/>
              </w:rPr>
              <w:t>Service Description</w:t>
            </w:r>
          </w:p>
        </w:tc>
        <w:tc>
          <w:tcPr>
            <w:tcW w:w="7143" w:type="dxa"/>
          </w:tcPr>
          <w:p w14:paraId="0AB5DF2F">
            <w:pPr>
              <w:spacing w:before="20" w:after="20" w:line="240" w:lineRule="auto"/>
            </w:pPr>
            <w:r>
              <w:rPr>
                <w:sz w:val="19"/>
              </w:rPr>
              <w:t>Free English tuition, flexible face-to-face and online classes, distance learning, free childcare while studying, and settlement and employment pathway support.</w:t>
            </w:r>
          </w:p>
        </w:tc>
      </w:tr>
      <w:tr w14:paraId="2307F3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30" w:type="dxa"/>
            <w:left w:w="80" w:type="dxa"/>
            <w:bottom w:w="30" w:type="dxa"/>
            <w:right w:w="80" w:type="dxa"/>
          </w:tblCellMar>
        </w:tblPrEx>
        <w:tc>
          <w:tcPr>
            <w:tcW w:w="2494" w:type="dxa"/>
            <w:shd w:val="clear" w:color="auto" w:fill="E8F4FD"/>
          </w:tcPr>
          <w:p w14:paraId="509E2DBA">
            <w:pPr>
              <w:spacing w:before="20" w:after="20" w:line="240" w:lineRule="auto"/>
            </w:pPr>
            <w:r>
              <w:rPr>
                <w:b/>
                <w:color w:val="002B49"/>
                <w:sz w:val="19"/>
              </w:rPr>
              <w:t>Who They Support</w:t>
            </w:r>
          </w:p>
        </w:tc>
        <w:tc>
          <w:tcPr>
            <w:tcW w:w="7143" w:type="dxa"/>
          </w:tcPr>
          <w:p w14:paraId="4F8EB2AF">
            <w:pPr>
              <w:spacing w:before="20" w:after="20" w:line="240" w:lineRule="auto"/>
            </w:pPr>
            <w:r>
              <w:rPr>
                <w:sz w:val="19"/>
              </w:rPr>
              <w:t>Migrants and humanitarian visa holders building foundation English language skills for daily life, work and community participation</w:t>
            </w:r>
          </w:p>
        </w:tc>
      </w:tr>
      <w:tr w14:paraId="0F1FB2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30" w:type="dxa"/>
            <w:left w:w="80" w:type="dxa"/>
            <w:bottom w:w="30" w:type="dxa"/>
            <w:right w:w="80" w:type="dxa"/>
          </w:tblCellMar>
        </w:tblPrEx>
        <w:tc>
          <w:tcPr>
            <w:tcW w:w="2494" w:type="dxa"/>
            <w:shd w:val="clear" w:color="auto" w:fill="E8F4FD"/>
          </w:tcPr>
          <w:p w14:paraId="15D5C818">
            <w:pPr>
              <w:spacing w:before="20" w:after="20" w:line="240" w:lineRule="auto"/>
            </w:pPr>
            <w:r>
              <w:rPr>
                <w:b/>
                <w:color w:val="002B49"/>
                <w:sz w:val="19"/>
              </w:rPr>
              <w:t>Eligibility</w:t>
            </w:r>
          </w:p>
        </w:tc>
        <w:tc>
          <w:tcPr>
            <w:tcW w:w="7143" w:type="dxa"/>
          </w:tcPr>
          <w:p w14:paraId="1AD3D80F">
            <w:pPr>
              <w:spacing w:before="20" w:after="20" w:line="240" w:lineRule="auto"/>
            </w:pPr>
            <w:r>
              <w:rPr>
                <w:sz w:val="19"/>
              </w:rPr>
              <w:t>Australian permanent residents, eligible temporary visa holders or humanitarian visa holders with low English proficiency</w:t>
            </w:r>
          </w:p>
        </w:tc>
      </w:tr>
      <w:tr w14:paraId="1ED2D6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30" w:type="dxa"/>
            <w:left w:w="80" w:type="dxa"/>
            <w:bottom w:w="30" w:type="dxa"/>
            <w:right w:w="80" w:type="dxa"/>
          </w:tblCellMar>
        </w:tblPrEx>
        <w:tc>
          <w:tcPr>
            <w:tcW w:w="2494" w:type="dxa"/>
            <w:shd w:val="clear" w:color="auto" w:fill="E8F4FD"/>
          </w:tcPr>
          <w:p w14:paraId="12A625BE">
            <w:pPr>
              <w:spacing w:before="20" w:after="20" w:line="240" w:lineRule="auto"/>
            </w:pPr>
            <w:r>
              <w:rPr>
                <w:b/>
                <w:color w:val="002B49"/>
                <w:sz w:val="19"/>
              </w:rPr>
              <w:t>Location / Coverage</w:t>
            </w:r>
          </w:p>
        </w:tc>
        <w:tc>
          <w:tcPr>
            <w:tcW w:w="7143" w:type="dxa"/>
          </w:tcPr>
          <w:p w14:paraId="1A67025B">
            <w:pPr>
              <w:spacing w:before="20" w:after="20" w:line="240" w:lineRule="auto"/>
            </w:pPr>
            <w:r>
              <w:rPr>
                <w:sz w:val="19"/>
              </w:rPr>
              <w:t>Mount Gravatt (1030 Cavendish Road, Mount Gravatt QLD 4122); Loganlea/Meadowbrook (50–68 Armstrong Road, Meadowbrook QLD 4131); also Acacia Ridge, Upper Mount Gravatt and surrounding Brisbane South East postcodes (scan-recorded)</w:t>
            </w:r>
          </w:p>
        </w:tc>
      </w:tr>
      <w:tr w14:paraId="3BFEF3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30" w:type="dxa"/>
            <w:left w:w="80" w:type="dxa"/>
            <w:bottom w:w="30" w:type="dxa"/>
            <w:right w:w="80" w:type="dxa"/>
          </w:tblCellMar>
        </w:tblPrEx>
        <w:tc>
          <w:tcPr>
            <w:tcW w:w="2494" w:type="dxa"/>
            <w:shd w:val="clear" w:color="auto" w:fill="E8F4FD"/>
          </w:tcPr>
          <w:p w14:paraId="099FEAB2">
            <w:pPr>
              <w:spacing w:before="20" w:after="20" w:line="240" w:lineRule="auto"/>
            </w:pPr>
            <w:r>
              <w:rPr>
                <w:b/>
                <w:color w:val="002B49"/>
                <w:sz w:val="19"/>
              </w:rPr>
              <w:t>Phone</w:t>
            </w:r>
          </w:p>
        </w:tc>
        <w:tc>
          <w:tcPr>
            <w:tcW w:w="7143" w:type="dxa"/>
          </w:tcPr>
          <w:p w14:paraId="33E6F697">
            <w:pPr>
              <w:spacing w:before="20" w:after="20" w:line="240" w:lineRule="auto"/>
            </w:pPr>
            <w:r>
              <w:rPr>
                <w:sz w:val="19"/>
              </w:rPr>
              <w:t>1300 308 233 / (07) 3244 5000</w:t>
            </w:r>
          </w:p>
        </w:tc>
      </w:tr>
      <w:tr w14:paraId="6B12A2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30" w:type="dxa"/>
            <w:left w:w="80" w:type="dxa"/>
            <w:bottom w:w="30" w:type="dxa"/>
            <w:right w:w="80" w:type="dxa"/>
          </w:tblCellMar>
        </w:tblPrEx>
        <w:tc>
          <w:tcPr>
            <w:tcW w:w="2494" w:type="dxa"/>
            <w:shd w:val="clear" w:color="auto" w:fill="E8F4FD"/>
          </w:tcPr>
          <w:p w14:paraId="5BADB19B">
            <w:pPr>
              <w:spacing w:before="20" w:after="20" w:line="240" w:lineRule="auto"/>
            </w:pPr>
            <w:r>
              <w:rPr>
                <w:b/>
                <w:color w:val="002B49"/>
                <w:sz w:val="19"/>
              </w:rPr>
              <w:t>Email</w:t>
            </w:r>
          </w:p>
        </w:tc>
        <w:tc>
          <w:tcPr>
            <w:tcW w:w="7143" w:type="dxa"/>
          </w:tcPr>
          <w:p w14:paraId="6B0BA072">
            <w:pPr>
              <w:spacing w:before="20" w:after="20" w:line="240" w:lineRule="auto"/>
            </w:pPr>
            <w:r>
              <w:rPr>
                <w:sz w:val="19"/>
              </w:rPr>
              <w:t>TAFE.Communication@tafeqld.edu.au; tells@tafeqld.edu.au</w:t>
            </w:r>
          </w:p>
        </w:tc>
      </w:tr>
      <w:tr w14:paraId="09C705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30" w:type="dxa"/>
            <w:left w:w="80" w:type="dxa"/>
            <w:bottom w:w="30" w:type="dxa"/>
            <w:right w:w="80" w:type="dxa"/>
          </w:tblCellMar>
        </w:tblPrEx>
        <w:tc>
          <w:tcPr>
            <w:tcW w:w="2494" w:type="dxa"/>
            <w:shd w:val="clear" w:color="auto" w:fill="E8F4FD"/>
          </w:tcPr>
          <w:p w14:paraId="4C5B075B">
            <w:pPr>
              <w:spacing w:before="20" w:after="20" w:line="240" w:lineRule="auto"/>
            </w:pPr>
            <w:r>
              <w:rPr>
                <w:b/>
                <w:color w:val="002B49"/>
                <w:sz w:val="19"/>
              </w:rPr>
              <w:t>Website</w:t>
            </w:r>
          </w:p>
        </w:tc>
        <w:tc>
          <w:tcPr>
            <w:tcW w:w="7143" w:type="dxa"/>
          </w:tcPr>
          <w:p w14:paraId="630FE6FA">
            <w:pPr>
              <w:spacing w:before="20" w:after="20" w:line="240" w:lineRule="auto"/>
            </w:pPr>
            <w:r>
              <w:fldChar w:fldCharType="begin"/>
            </w:r>
            <w:r>
              <w:instrText xml:space="preserve"> HYPERLINK "https://tafeqld.edu.au/courses/course-types/tells/amep" \h </w:instrText>
            </w:r>
            <w:r>
              <w:fldChar w:fldCharType="separate"/>
            </w:r>
            <w:r>
              <w:rPr>
                <w:rFonts w:ascii="Calibri" w:hAnsi="Calibri"/>
                <w:color w:val="0066CC"/>
                <w:sz w:val="19"/>
                <w:u w:val="single"/>
              </w:rPr>
              <w:t>https://tafeqld.edu.au/courses/course-types/tells/amep</w:t>
            </w:r>
            <w:r>
              <w:rPr>
                <w:rFonts w:ascii="Calibri" w:hAnsi="Calibri"/>
                <w:color w:val="0066CC"/>
                <w:sz w:val="19"/>
                <w:u w:val="single"/>
              </w:rPr>
              <w:fldChar w:fldCharType="end"/>
            </w:r>
          </w:p>
        </w:tc>
      </w:tr>
      <w:tr w14:paraId="443902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30" w:type="dxa"/>
            <w:left w:w="80" w:type="dxa"/>
            <w:bottom w:w="30" w:type="dxa"/>
            <w:right w:w="80" w:type="dxa"/>
          </w:tblCellMar>
        </w:tblPrEx>
        <w:tc>
          <w:tcPr>
            <w:tcW w:w="2494" w:type="dxa"/>
            <w:shd w:val="clear" w:color="auto" w:fill="E8F4FD"/>
          </w:tcPr>
          <w:p w14:paraId="773601E3">
            <w:pPr>
              <w:spacing w:before="20" w:after="20" w:line="240" w:lineRule="auto"/>
            </w:pPr>
            <w:r>
              <w:rPr>
                <w:b/>
                <w:color w:val="002B49"/>
                <w:sz w:val="19"/>
              </w:rPr>
              <w:t>Referral / Intake</w:t>
            </w:r>
          </w:p>
        </w:tc>
        <w:tc>
          <w:tcPr>
            <w:tcW w:w="7143" w:type="dxa"/>
          </w:tcPr>
          <w:p w14:paraId="1D7177AF">
            <w:pPr>
              <w:spacing w:before="20" w:after="20" w:line="240" w:lineRule="auto"/>
            </w:pPr>
            <w:r>
              <w:rPr>
                <w:sz w:val="19"/>
              </w:rPr>
              <w:t>Direct online registration via the TAFE Queensland website, phone inquiry, or visiting a local campus</w:t>
            </w:r>
          </w:p>
        </w:tc>
      </w:tr>
      <w:tr w14:paraId="1AAE7C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30" w:type="dxa"/>
            <w:left w:w="80" w:type="dxa"/>
            <w:bottom w:w="30" w:type="dxa"/>
            <w:right w:w="80" w:type="dxa"/>
          </w:tblCellMar>
        </w:tblPrEx>
        <w:tc>
          <w:tcPr>
            <w:tcW w:w="2494" w:type="dxa"/>
            <w:shd w:val="clear" w:color="auto" w:fill="E8F4FD"/>
          </w:tcPr>
          <w:p w14:paraId="5D751AFB">
            <w:pPr>
              <w:spacing w:before="20" w:after="20" w:line="240" w:lineRule="auto"/>
            </w:pPr>
            <w:r>
              <w:rPr>
                <w:b/>
                <w:color w:val="002B49"/>
                <w:sz w:val="19"/>
              </w:rPr>
              <w:t>Verification Status</w:t>
            </w:r>
          </w:p>
        </w:tc>
        <w:tc>
          <w:tcPr>
            <w:tcW w:w="7143" w:type="dxa"/>
          </w:tcPr>
          <w:p w14:paraId="2EB8ACCC">
            <w:pPr>
              <w:spacing w:before="20" w:after="20" w:line="240" w:lineRule="auto"/>
            </w:pPr>
            <w:r>
              <w:rPr>
                <w:sz w:val="19"/>
              </w:rPr>
              <w:t>REQUIRES VERIFICATION — environmental scan record from official TAFE Queensland pages; confirm current sites.</w:t>
            </w:r>
          </w:p>
        </w:tc>
      </w:tr>
    </w:tbl>
    <w:p w14:paraId="30913951">
      <w:pPr>
        <w:pStyle w:val="4"/>
      </w:pPr>
      <w:r>
        <w:rPr>
          <w:color w:val="002B49"/>
        </w:rPr>
        <w:t>MAX Solutions (MAX Employment) — AMEP</w:t>
      </w:r>
    </w:p>
    <w:tbl>
      <w:tblPr>
        <w:tblStyle w:val="3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30" w:type="dxa"/>
          <w:left w:w="80" w:type="dxa"/>
          <w:bottom w:w="30" w:type="dxa"/>
          <w:right w:w="80" w:type="dxa"/>
        </w:tblCellMar>
      </w:tblPr>
      <w:tblGrid>
        <w:gridCol w:w="4819"/>
        <w:gridCol w:w="4819"/>
      </w:tblGrid>
      <w:tr w14:paraId="1A85CB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30" w:type="dxa"/>
            <w:left w:w="80" w:type="dxa"/>
            <w:bottom w:w="30" w:type="dxa"/>
            <w:right w:w="80" w:type="dxa"/>
          </w:tblCellMar>
        </w:tblPrEx>
        <w:tc>
          <w:tcPr>
            <w:tcW w:w="2494" w:type="dxa"/>
            <w:shd w:val="clear" w:color="auto" w:fill="E8F4FD"/>
          </w:tcPr>
          <w:p w14:paraId="4D7E3AEC">
            <w:pPr>
              <w:spacing w:before="20" w:after="20" w:line="240" w:lineRule="auto"/>
            </w:pPr>
            <w:r>
              <w:rPr>
                <w:b/>
                <w:color w:val="002B49"/>
                <w:sz w:val="19"/>
              </w:rPr>
              <w:t>Organisation</w:t>
            </w:r>
          </w:p>
        </w:tc>
        <w:tc>
          <w:tcPr>
            <w:tcW w:w="7143" w:type="dxa"/>
          </w:tcPr>
          <w:p w14:paraId="56AEF45F">
            <w:pPr>
              <w:spacing w:before="20" w:after="20" w:line="240" w:lineRule="auto"/>
            </w:pPr>
            <w:r>
              <w:rPr>
                <w:sz w:val="19"/>
              </w:rPr>
              <w:t>MAX Solutions Pty Ltd (MAX Employment)</w:t>
            </w:r>
          </w:p>
        </w:tc>
      </w:tr>
      <w:tr w14:paraId="57101F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30" w:type="dxa"/>
            <w:left w:w="80" w:type="dxa"/>
            <w:bottom w:w="30" w:type="dxa"/>
            <w:right w:w="80" w:type="dxa"/>
          </w:tblCellMar>
        </w:tblPrEx>
        <w:tc>
          <w:tcPr>
            <w:tcW w:w="2494" w:type="dxa"/>
            <w:shd w:val="clear" w:color="auto" w:fill="E8F4FD"/>
          </w:tcPr>
          <w:p w14:paraId="7D1861CE">
            <w:pPr>
              <w:spacing w:before="20" w:after="20" w:line="240" w:lineRule="auto"/>
            </w:pPr>
            <w:r>
              <w:rPr>
                <w:b/>
                <w:color w:val="002B49"/>
                <w:sz w:val="19"/>
              </w:rPr>
              <w:t>Program / Service</w:t>
            </w:r>
          </w:p>
        </w:tc>
        <w:tc>
          <w:tcPr>
            <w:tcW w:w="7143" w:type="dxa"/>
          </w:tcPr>
          <w:p w14:paraId="1D9E4F09">
            <w:pPr>
              <w:spacing w:before="20" w:after="20" w:line="240" w:lineRule="auto"/>
            </w:pPr>
            <w:r>
              <w:rPr>
                <w:sz w:val="19"/>
              </w:rPr>
              <w:t>Adult Migrant English Program (AMEP)</w:t>
            </w:r>
          </w:p>
        </w:tc>
      </w:tr>
      <w:tr w14:paraId="6AC4B2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30" w:type="dxa"/>
            <w:left w:w="80" w:type="dxa"/>
            <w:bottom w:w="30" w:type="dxa"/>
            <w:right w:w="80" w:type="dxa"/>
          </w:tblCellMar>
        </w:tblPrEx>
        <w:tc>
          <w:tcPr>
            <w:tcW w:w="2494" w:type="dxa"/>
            <w:shd w:val="clear" w:color="auto" w:fill="E8F4FD"/>
          </w:tcPr>
          <w:p w14:paraId="2FB16F8A">
            <w:pPr>
              <w:spacing w:before="20" w:after="20" w:line="240" w:lineRule="auto"/>
            </w:pPr>
            <w:r>
              <w:rPr>
                <w:b/>
                <w:color w:val="002B49"/>
                <w:sz w:val="19"/>
              </w:rPr>
              <w:t>Service Description</w:t>
            </w:r>
          </w:p>
        </w:tc>
        <w:tc>
          <w:tcPr>
            <w:tcW w:w="7143" w:type="dxa"/>
          </w:tcPr>
          <w:p w14:paraId="5A638A07">
            <w:pPr>
              <w:spacing w:before="20" w:after="20" w:line="240" w:lineRule="auto"/>
            </w:pPr>
            <w:r>
              <w:rPr>
                <w:sz w:val="19"/>
              </w:rPr>
              <w:t>Flexible classroom training, digital/virtual classes, home tutor schemes, pathway planning and free childcare support for eligible parents.</w:t>
            </w:r>
          </w:p>
        </w:tc>
      </w:tr>
      <w:tr w14:paraId="3E4666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30" w:type="dxa"/>
            <w:left w:w="80" w:type="dxa"/>
            <w:bottom w:w="30" w:type="dxa"/>
            <w:right w:w="80" w:type="dxa"/>
          </w:tblCellMar>
        </w:tblPrEx>
        <w:tc>
          <w:tcPr>
            <w:tcW w:w="2494" w:type="dxa"/>
            <w:shd w:val="clear" w:color="auto" w:fill="E8F4FD"/>
          </w:tcPr>
          <w:p w14:paraId="4CF6BA46">
            <w:pPr>
              <w:spacing w:before="20" w:after="20" w:line="240" w:lineRule="auto"/>
            </w:pPr>
            <w:r>
              <w:rPr>
                <w:b/>
                <w:color w:val="002B49"/>
                <w:sz w:val="19"/>
              </w:rPr>
              <w:t>Who They Support</w:t>
            </w:r>
          </w:p>
        </w:tc>
        <w:tc>
          <w:tcPr>
            <w:tcW w:w="7143" w:type="dxa"/>
          </w:tcPr>
          <w:p w14:paraId="2A8553A3">
            <w:pPr>
              <w:spacing w:before="20" w:after="20" w:line="240" w:lineRule="auto"/>
            </w:pPr>
            <w:r>
              <w:rPr>
                <w:sz w:val="19"/>
              </w:rPr>
              <w:t>Permanent migrants and humanitarian entrants improving functional English and settlement skills</w:t>
            </w:r>
          </w:p>
        </w:tc>
      </w:tr>
      <w:tr w14:paraId="5C501D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30" w:type="dxa"/>
            <w:left w:w="80" w:type="dxa"/>
            <w:bottom w:w="30" w:type="dxa"/>
            <w:right w:w="80" w:type="dxa"/>
          </w:tblCellMar>
        </w:tblPrEx>
        <w:tc>
          <w:tcPr>
            <w:tcW w:w="2494" w:type="dxa"/>
            <w:shd w:val="clear" w:color="auto" w:fill="E8F4FD"/>
          </w:tcPr>
          <w:p w14:paraId="5E902CAA">
            <w:pPr>
              <w:spacing w:before="20" w:after="20" w:line="240" w:lineRule="auto"/>
            </w:pPr>
            <w:r>
              <w:rPr>
                <w:b/>
                <w:color w:val="002B49"/>
                <w:sz w:val="19"/>
              </w:rPr>
              <w:t>Location / Coverage</w:t>
            </w:r>
          </w:p>
        </w:tc>
        <w:tc>
          <w:tcPr>
            <w:tcW w:w="7143" w:type="dxa"/>
          </w:tcPr>
          <w:p w14:paraId="37482E35">
            <w:pPr>
              <w:spacing w:before="20" w:after="20" w:line="240" w:lineRule="auto"/>
            </w:pPr>
            <w:r>
              <w:rPr>
                <w:sz w:val="19"/>
              </w:rPr>
              <w:t>Logan, Inala, Upper Mount Gravatt and Ipswich regions (scan-recorded)</w:t>
            </w:r>
          </w:p>
        </w:tc>
      </w:tr>
      <w:tr w14:paraId="479F0D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30" w:type="dxa"/>
            <w:left w:w="80" w:type="dxa"/>
            <w:bottom w:w="30" w:type="dxa"/>
            <w:right w:w="80" w:type="dxa"/>
          </w:tblCellMar>
        </w:tblPrEx>
        <w:tc>
          <w:tcPr>
            <w:tcW w:w="2494" w:type="dxa"/>
            <w:shd w:val="clear" w:color="auto" w:fill="E8F4FD"/>
          </w:tcPr>
          <w:p w14:paraId="4684AC6D">
            <w:pPr>
              <w:spacing w:before="20" w:after="20" w:line="240" w:lineRule="auto"/>
            </w:pPr>
            <w:r>
              <w:rPr>
                <w:b/>
                <w:color w:val="002B49"/>
                <w:sz w:val="19"/>
              </w:rPr>
              <w:t>Phone</w:t>
            </w:r>
          </w:p>
        </w:tc>
        <w:tc>
          <w:tcPr>
            <w:tcW w:w="7143" w:type="dxa"/>
          </w:tcPr>
          <w:p w14:paraId="496D90D0">
            <w:pPr>
              <w:spacing w:before="20" w:after="20" w:line="240" w:lineRule="auto"/>
            </w:pPr>
            <w:r>
              <w:rPr>
                <w:sz w:val="19"/>
              </w:rPr>
              <w:t>1800 021 560</w:t>
            </w:r>
          </w:p>
        </w:tc>
      </w:tr>
      <w:tr w14:paraId="342FDF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30" w:type="dxa"/>
            <w:left w:w="80" w:type="dxa"/>
            <w:bottom w:w="30" w:type="dxa"/>
            <w:right w:w="80" w:type="dxa"/>
          </w:tblCellMar>
        </w:tblPrEx>
        <w:tc>
          <w:tcPr>
            <w:tcW w:w="2494" w:type="dxa"/>
            <w:shd w:val="clear" w:color="auto" w:fill="E8F4FD"/>
          </w:tcPr>
          <w:p w14:paraId="3DCC43E3">
            <w:pPr>
              <w:spacing w:before="20" w:after="20" w:line="240" w:lineRule="auto"/>
            </w:pPr>
            <w:r>
              <w:rPr>
                <w:b/>
                <w:color w:val="002B49"/>
                <w:sz w:val="19"/>
              </w:rPr>
              <w:t>Email</w:t>
            </w:r>
          </w:p>
        </w:tc>
        <w:tc>
          <w:tcPr>
            <w:tcW w:w="7143" w:type="dxa"/>
          </w:tcPr>
          <w:p w14:paraId="55F02191">
            <w:pPr>
              <w:spacing w:before="20" w:after="20" w:line="240" w:lineRule="auto"/>
            </w:pPr>
            <w:r>
              <w:rPr>
                <w:sz w:val="19"/>
              </w:rPr>
              <w:t>info@maxsolutions.com.au</w:t>
            </w:r>
          </w:p>
        </w:tc>
      </w:tr>
      <w:tr w14:paraId="2EF586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30" w:type="dxa"/>
            <w:left w:w="80" w:type="dxa"/>
            <w:bottom w:w="30" w:type="dxa"/>
            <w:right w:w="80" w:type="dxa"/>
          </w:tblCellMar>
        </w:tblPrEx>
        <w:tc>
          <w:tcPr>
            <w:tcW w:w="2494" w:type="dxa"/>
            <w:shd w:val="clear" w:color="auto" w:fill="E8F4FD"/>
          </w:tcPr>
          <w:p w14:paraId="104B1ED1">
            <w:pPr>
              <w:spacing w:before="20" w:after="20" w:line="240" w:lineRule="auto"/>
            </w:pPr>
            <w:r>
              <w:rPr>
                <w:b/>
                <w:color w:val="002B49"/>
                <w:sz w:val="19"/>
              </w:rPr>
              <w:t>Website</w:t>
            </w:r>
          </w:p>
        </w:tc>
        <w:tc>
          <w:tcPr>
            <w:tcW w:w="7143" w:type="dxa"/>
          </w:tcPr>
          <w:p w14:paraId="3F4CDA61">
            <w:pPr>
              <w:spacing w:before="20" w:after="20" w:line="240" w:lineRule="auto"/>
            </w:pPr>
            <w:r>
              <w:fldChar w:fldCharType="begin"/>
            </w:r>
            <w:r>
              <w:instrText xml:space="preserve"> HYPERLINK "https://www.maxsolutions.edu.au/english-language-and-literacy-services/adult-migrant-english-program-amep" \h </w:instrText>
            </w:r>
            <w:r>
              <w:fldChar w:fldCharType="separate"/>
            </w:r>
            <w:r>
              <w:rPr>
                <w:rFonts w:ascii="Calibri" w:hAnsi="Calibri"/>
                <w:color w:val="0066CC"/>
                <w:sz w:val="19"/>
                <w:u w:val="single"/>
              </w:rPr>
              <w:t>https://www.maxsolutions.edu.au/english-language-and-literacy-services/adult-migrant-english-program-amep</w:t>
            </w:r>
            <w:r>
              <w:rPr>
                <w:rFonts w:ascii="Calibri" w:hAnsi="Calibri"/>
                <w:color w:val="0066CC"/>
                <w:sz w:val="19"/>
                <w:u w:val="single"/>
              </w:rPr>
              <w:fldChar w:fldCharType="end"/>
            </w:r>
          </w:p>
        </w:tc>
      </w:tr>
      <w:tr w14:paraId="7771EB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30" w:type="dxa"/>
            <w:left w:w="80" w:type="dxa"/>
            <w:bottom w:w="30" w:type="dxa"/>
            <w:right w:w="80" w:type="dxa"/>
          </w:tblCellMar>
        </w:tblPrEx>
        <w:tc>
          <w:tcPr>
            <w:tcW w:w="2494" w:type="dxa"/>
            <w:shd w:val="clear" w:color="auto" w:fill="E8F4FD"/>
          </w:tcPr>
          <w:p w14:paraId="73275121">
            <w:pPr>
              <w:spacing w:before="20" w:after="20" w:line="240" w:lineRule="auto"/>
            </w:pPr>
            <w:r>
              <w:rPr>
                <w:b/>
                <w:color w:val="002B49"/>
                <w:sz w:val="19"/>
              </w:rPr>
              <w:t>Referral / Intake</w:t>
            </w:r>
          </w:p>
        </w:tc>
        <w:tc>
          <w:tcPr>
            <w:tcW w:w="7143" w:type="dxa"/>
          </w:tcPr>
          <w:p w14:paraId="6DAC715B">
            <w:pPr>
              <w:spacing w:before="20" w:after="20" w:line="240" w:lineRule="auto"/>
            </w:pPr>
            <w:r>
              <w:rPr>
                <w:sz w:val="19"/>
              </w:rPr>
              <w:t>Online referral form, phone registration, or direct intake via MAX Solutions sites</w:t>
            </w:r>
          </w:p>
        </w:tc>
      </w:tr>
      <w:tr w14:paraId="3AA045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30" w:type="dxa"/>
            <w:left w:w="80" w:type="dxa"/>
            <w:bottom w:w="30" w:type="dxa"/>
            <w:right w:w="80" w:type="dxa"/>
          </w:tblCellMar>
        </w:tblPrEx>
        <w:tc>
          <w:tcPr>
            <w:tcW w:w="2494" w:type="dxa"/>
            <w:shd w:val="clear" w:color="auto" w:fill="E8F4FD"/>
          </w:tcPr>
          <w:p w14:paraId="2E906717">
            <w:pPr>
              <w:spacing w:before="20" w:after="20" w:line="240" w:lineRule="auto"/>
            </w:pPr>
            <w:r>
              <w:rPr>
                <w:b/>
                <w:color w:val="002B49"/>
                <w:sz w:val="19"/>
              </w:rPr>
              <w:t>Verification Status</w:t>
            </w:r>
          </w:p>
        </w:tc>
        <w:tc>
          <w:tcPr>
            <w:tcW w:w="7143" w:type="dxa"/>
          </w:tcPr>
          <w:p w14:paraId="6F8EC7AD">
            <w:pPr>
              <w:spacing w:before="20" w:after="20" w:line="240" w:lineRule="auto"/>
            </w:pPr>
            <w:r>
              <w:rPr>
                <w:sz w:val="19"/>
              </w:rPr>
              <w:t>REQUIRES VERIFICATION — environmental scan record from official provider pages.</w:t>
            </w:r>
          </w:p>
        </w:tc>
      </w:tr>
    </w:tbl>
    <w:p w14:paraId="1EBC8BBE">
      <w:pPr>
        <w:pStyle w:val="4"/>
      </w:pPr>
      <w:r>
        <w:rPr>
          <w:color w:val="002B49"/>
        </w:rPr>
        <w:t>STEPS Group Australia — AMEP</w:t>
      </w:r>
    </w:p>
    <w:tbl>
      <w:tblPr>
        <w:tblStyle w:val="3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30" w:type="dxa"/>
          <w:left w:w="80" w:type="dxa"/>
          <w:bottom w:w="30" w:type="dxa"/>
          <w:right w:w="80" w:type="dxa"/>
        </w:tblCellMar>
      </w:tblPr>
      <w:tblGrid>
        <w:gridCol w:w="4819"/>
        <w:gridCol w:w="4819"/>
      </w:tblGrid>
      <w:tr w14:paraId="0F8919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30" w:type="dxa"/>
            <w:left w:w="80" w:type="dxa"/>
            <w:bottom w:w="30" w:type="dxa"/>
            <w:right w:w="80" w:type="dxa"/>
          </w:tblCellMar>
        </w:tblPrEx>
        <w:tc>
          <w:tcPr>
            <w:tcW w:w="2494" w:type="dxa"/>
            <w:shd w:val="clear" w:color="auto" w:fill="E8F4FD"/>
          </w:tcPr>
          <w:p w14:paraId="22D6BA23">
            <w:pPr>
              <w:spacing w:before="20" w:after="20" w:line="240" w:lineRule="auto"/>
            </w:pPr>
            <w:r>
              <w:rPr>
                <w:b/>
                <w:color w:val="002B49"/>
                <w:sz w:val="19"/>
              </w:rPr>
              <w:t>Organisation</w:t>
            </w:r>
          </w:p>
        </w:tc>
        <w:tc>
          <w:tcPr>
            <w:tcW w:w="7143" w:type="dxa"/>
          </w:tcPr>
          <w:p w14:paraId="6D359A22">
            <w:pPr>
              <w:spacing w:before="20" w:after="20" w:line="240" w:lineRule="auto"/>
            </w:pPr>
            <w:r>
              <w:rPr>
                <w:sz w:val="19"/>
              </w:rPr>
              <w:t>STEPS Group Australia Ltd</w:t>
            </w:r>
          </w:p>
        </w:tc>
      </w:tr>
      <w:tr w14:paraId="24C4B1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30" w:type="dxa"/>
            <w:left w:w="80" w:type="dxa"/>
            <w:bottom w:w="30" w:type="dxa"/>
            <w:right w:w="80" w:type="dxa"/>
          </w:tblCellMar>
        </w:tblPrEx>
        <w:tc>
          <w:tcPr>
            <w:tcW w:w="2494" w:type="dxa"/>
            <w:shd w:val="clear" w:color="auto" w:fill="E8F4FD"/>
          </w:tcPr>
          <w:p w14:paraId="271A045E">
            <w:pPr>
              <w:spacing w:before="20" w:after="20" w:line="240" w:lineRule="auto"/>
            </w:pPr>
            <w:r>
              <w:rPr>
                <w:b/>
                <w:color w:val="002B49"/>
                <w:sz w:val="19"/>
              </w:rPr>
              <w:t>Program / Service</w:t>
            </w:r>
          </w:p>
        </w:tc>
        <w:tc>
          <w:tcPr>
            <w:tcW w:w="7143" w:type="dxa"/>
          </w:tcPr>
          <w:p w14:paraId="713CF1A3">
            <w:pPr>
              <w:spacing w:before="20" w:after="20" w:line="240" w:lineRule="auto"/>
            </w:pPr>
            <w:r>
              <w:rPr>
                <w:sz w:val="19"/>
              </w:rPr>
              <w:t>Adult Migrant English Program (AMEP)</w:t>
            </w:r>
          </w:p>
        </w:tc>
      </w:tr>
      <w:tr w14:paraId="7CBD5D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30" w:type="dxa"/>
            <w:left w:w="80" w:type="dxa"/>
            <w:bottom w:w="30" w:type="dxa"/>
            <w:right w:w="80" w:type="dxa"/>
          </w:tblCellMar>
        </w:tblPrEx>
        <w:tc>
          <w:tcPr>
            <w:tcW w:w="2494" w:type="dxa"/>
            <w:shd w:val="clear" w:color="auto" w:fill="E8F4FD"/>
          </w:tcPr>
          <w:p w14:paraId="7EED7CEC">
            <w:pPr>
              <w:spacing w:before="20" w:after="20" w:line="240" w:lineRule="auto"/>
            </w:pPr>
            <w:r>
              <w:rPr>
                <w:b/>
                <w:color w:val="002B49"/>
                <w:sz w:val="19"/>
              </w:rPr>
              <w:t>Service Description</w:t>
            </w:r>
          </w:p>
        </w:tc>
        <w:tc>
          <w:tcPr>
            <w:tcW w:w="7143" w:type="dxa"/>
          </w:tcPr>
          <w:p w14:paraId="1DF373CD">
            <w:pPr>
              <w:spacing w:before="20" w:after="20" w:line="240" w:lineRule="auto"/>
            </w:pPr>
            <w:r>
              <w:rPr>
                <w:sz w:val="19"/>
              </w:rPr>
              <w:t>Classroom learning, online study, volunteer home tutoring, conversation clubs and childcare support.</w:t>
            </w:r>
          </w:p>
        </w:tc>
      </w:tr>
      <w:tr w14:paraId="6AF14A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30" w:type="dxa"/>
            <w:left w:w="80" w:type="dxa"/>
            <w:bottom w:w="30" w:type="dxa"/>
            <w:right w:w="80" w:type="dxa"/>
          </w:tblCellMar>
        </w:tblPrEx>
        <w:tc>
          <w:tcPr>
            <w:tcW w:w="2494" w:type="dxa"/>
            <w:shd w:val="clear" w:color="auto" w:fill="E8F4FD"/>
          </w:tcPr>
          <w:p w14:paraId="4548F776">
            <w:pPr>
              <w:spacing w:before="20" w:after="20" w:line="240" w:lineRule="auto"/>
            </w:pPr>
            <w:r>
              <w:rPr>
                <w:b/>
                <w:color w:val="002B49"/>
                <w:sz w:val="19"/>
              </w:rPr>
              <w:t>Who They Support</w:t>
            </w:r>
          </w:p>
        </w:tc>
        <w:tc>
          <w:tcPr>
            <w:tcW w:w="7143" w:type="dxa"/>
          </w:tcPr>
          <w:p w14:paraId="588C0CC5">
            <w:pPr>
              <w:spacing w:before="20" w:after="20" w:line="240" w:lineRule="auto"/>
            </w:pPr>
            <w:r>
              <w:rPr>
                <w:sz w:val="19"/>
              </w:rPr>
              <w:t>Adult migrants and humanitarian entrants building English language proficiency for employment and community connection</w:t>
            </w:r>
          </w:p>
        </w:tc>
      </w:tr>
      <w:tr w14:paraId="724E9E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30" w:type="dxa"/>
            <w:left w:w="80" w:type="dxa"/>
            <w:bottom w:w="30" w:type="dxa"/>
            <w:right w:w="80" w:type="dxa"/>
          </w:tblCellMar>
        </w:tblPrEx>
        <w:tc>
          <w:tcPr>
            <w:tcW w:w="2494" w:type="dxa"/>
            <w:shd w:val="clear" w:color="auto" w:fill="E8F4FD"/>
          </w:tcPr>
          <w:p w14:paraId="499BF6DD">
            <w:pPr>
              <w:spacing w:before="20" w:after="20" w:line="240" w:lineRule="auto"/>
            </w:pPr>
            <w:r>
              <w:rPr>
                <w:b/>
                <w:color w:val="002B49"/>
                <w:sz w:val="19"/>
              </w:rPr>
              <w:t>Eligibility</w:t>
            </w:r>
          </w:p>
        </w:tc>
        <w:tc>
          <w:tcPr>
            <w:tcW w:w="7143" w:type="dxa"/>
          </w:tcPr>
          <w:p w14:paraId="7B5C289A">
            <w:pPr>
              <w:spacing w:before="20" w:after="20" w:line="240" w:lineRule="auto"/>
            </w:pPr>
            <w:r>
              <w:rPr>
                <w:sz w:val="19"/>
              </w:rPr>
              <w:t>Australian permanent visa holders, eligible temporary residents or humanitarian entrants aged 18+ (or 15–17 in specific cases)</w:t>
            </w:r>
          </w:p>
        </w:tc>
      </w:tr>
      <w:tr w14:paraId="613774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30" w:type="dxa"/>
            <w:left w:w="80" w:type="dxa"/>
            <w:bottom w:w="30" w:type="dxa"/>
            <w:right w:w="80" w:type="dxa"/>
          </w:tblCellMar>
        </w:tblPrEx>
        <w:tc>
          <w:tcPr>
            <w:tcW w:w="2494" w:type="dxa"/>
            <w:shd w:val="clear" w:color="auto" w:fill="E8F4FD"/>
          </w:tcPr>
          <w:p w14:paraId="6207C67D">
            <w:pPr>
              <w:spacing w:before="20" w:after="20" w:line="240" w:lineRule="auto"/>
            </w:pPr>
            <w:r>
              <w:rPr>
                <w:b/>
                <w:color w:val="002B49"/>
                <w:sz w:val="19"/>
              </w:rPr>
              <w:t>Location / Coverage</w:t>
            </w:r>
          </w:p>
        </w:tc>
        <w:tc>
          <w:tcPr>
            <w:tcW w:w="7143" w:type="dxa"/>
          </w:tcPr>
          <w:p w14:paraId="79AE5699">
            <w:pPr>
              <w:spacing w:before="20" w:after="20" w:line="240" w:lineRule="auto"/>
            </w:pPr>
            <w:r>
              <w:rPr>
                <w:sz w:val="19"/>
              </w:rPr>
              <w:t>South East Queensland regional hubs and distance learners, including Logan and Springwood (scan-recorded)</w:t>
            </w:r>
          </w:p>
        </w:tc>
      </w:tr>
      <w:tr w14:paraId="03A92E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30" w:type="dxa"/>
            <w:left w:w="80" w:type="dxa"/>
            <w:bottom w:w="30" w:type="dxa"/>
            <w:right w:w="80" w:type="dxa"/>
          </w:tblCellMar>
        </w:tblPrEx>
        <w:tc>
          <w:tcPr>
            <w:tcW w:w="2494" w:type="dxa"/>
            <w:shd w:val="clear" w:color="auto" w:fill="E8F4FD"/>
          </w:tcPr>
          <w:p w14:paraId="2DEE736F">
            <w:pPr>
              <w:spacing w:before="20" w:after="20" w:line="240" w:lineRule="auto"/>
            </w:pPr>
            <w:r>
              <w:rPr>
                <w:b/>
                <w:color w:val="002B49"/>
                <w:sz w:val="19"/>
              </w:rPr>
              <w:t>Phone</w:t>
            </w:r>
          </w:p>
        </w:tc>
        <w:tc>
          <w:tcPr>
            <w:tcW w:w="7143" w:type="dxa"/>
          </w:tcPr>
          <w:p w14:paraId="7BE2C810">
            <w:pPr>
              <w:spacing w:before="20" w:after="20" w:line="240" w:lineRule="auto"/>
            </w:pPr>
            <w:r>
              <w:rPr>
                <w:sz w:val="19"/>
              </w:rPr>
              <w:t>1300 131 965</w:t>
            </w:r>
          </w:p>
        </w:tc>
      </w:tr>
      <w:tr w14:paraId="3264E0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30" w:type="dxa"/>
            <w:left w:w="80" w:type="dxa"/>
            <w:bottom w:w="30" w:type="dxa"/>
            <w:right w:w="80" w:type="dxa"/>
          </w:tblCellMar>
        </w:tblPrEx>
        <w:tc>
          <w:tcPr>
            <w:tcW w:w="2494" w:type="dxa"/>
            <w:shd w:val="clear" w:color="auto" w:fill="E8F4FD"/>
          </w:tcPr>
          <w:p w14:paraId="46C49BFF">
            <w:pPr>
              <w:spacing w:before="20" w:after="20" w:line="240" w:lineRule="auto"/>
            </w:pPr>
            <w:r>
              <w:rPr>
                <w:b/>
                <w:color w:val="002B49"/>
                <w:sz w:val="19"/>
              </w:rPr>
              <w:t>Email</w:t>
            </w:r>
          </w:p>
        </w:tc>
        <w:tc>
          <w:tcPr>
            <w:tcW w:w="7143" w:type="dxa"/>
          </w:tcPr>
          <w:p w14:paraId="5DFE30F7">
            <w:pPr>
              <w:spacing w:before="20" w:after="20" w:line="240" w:lineRule="auto"/>
            </w:pPr>
            <w:r>
              <w:rPr>
                <w:sz w:val="19"/>
              </w:rPr>
              <w:t>amep@stepsgroup.com.au</w:t>
            </w:r>
          </w:p>
        </w:tc>
      </w:tr>
      <w:tr w14:paraId="4C66AC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30" w:type="dxa"/>
            <w:left w:w="80" w:type="dxa"/>
            <w:bottom w:w="30" w:type="dxa"/>
            <w:right w:w="80" w:type="dxa"/>
          </w:tblCellMar>
        </w:tblPrEx>
        <w:tc>
          <w:tcPr>
            <w:tcW w:w="2494" w:type="dxa"/>
            <w:shd w:val="clear" w:color="auto" w:fill="E8F4FD"/>
          </w:tcPr>
          <w:p w14:paraId="315369DD">
            <w:pPr>
              <w:spacing w:before="20" w:after="20" w:line="240" w:lineRule="auto"/>
            </w:pPr>
            <w:r>
              <w:rPr>
                <w:b/>
                <w:color w:val="002B49"/>
                <w:sz w:val="19"/>
              </w:rPr>
              <w:t>Website</w:t>
            </w:r>
          </w:p>
        </w:tc>
        <w:tc>
          <w:tcPr>
            <w:tcW w:w="7143" w:type="dxa"/>
          </w:tcPr>
          <w:p w14:paraId="2487B3F0">
            <w:pPr>
              <w:spacing w:before="20" w:after="20" w:line="240" w:lineRule="auto"/>
            </w:pPr>
            <w:r>
              <w:fldChar w:fldCharType="begin"/>
            </w:r>
            <w:r>
              <w:instrText xml:space="preserve"> HYPERLINK "https://www.stepsamep.com.au" \h </w:instrText>
            </w:r>
            <w:r>
              <w:fldChar w:fldCharType="separate"/>
            </w:r>
            <w:r>
              <w:rPr>
                <w:rFonts w:ascii="Calibri" w:hAnsi="Calibri"/>
                <w:color w:val="0066CC"/>
                <w:sz w:val="19"/>
                <w:u w:val="single"/>
              </w:rPr>
              <w:t>https://www.stepsamep.com.au</w:t>
            </w:r>
            <w:r>
              <w:rPr>
                <w:rFonts w:ascii="Calibri" w:hAnsi="Calibri"/>
                <w:color w:val="0066CC"/>
                <w:sz w:val="19"/>
                <w:u w:val="single"/>
              </w:rPr>
              <w:fldChar w:fldCharType="end"/>
            </w:r>
          </w:p>
        </w:tc>
      </w:tr>
      <w:tr w14:paraId="200D1B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30" w:type="dxa"/>
            <w:left w:w="80" w:type="dxa"/>
            <w:bottom w:w="30" w:type="dxa"/>
            <w:right w:w="80" w:type="dxa"/>
          </w:tblCellMar>
        </w:tblPrEx>
        <w:tc>
          <w:tcPr>
            <w:tcW w:w="2494" w:type="dxa"/>
            <w:shd w:val="clear" w:color="auto" w:fill="E8F4FD"/>
          </w:tcPr>
          <w:p w14:paraId="563BF20B">
            <w:pPr>
              <w:spacing w:before="20" w:after="20" w:line="240" w:lineRule="auto"/>
            </w:pPr>
            <w:r>
              <w:rPr>
                <w:b/>
                <w:color w:val="002B49"/>
                <w:sz w:val="19"/>
              </w:rPr>
              <w:t>Verification Status</w:t>
            </w:r>
          </w:p>
        </w:tc>
        <w:tc>
          <w:tcPr>
            <w:tcW w:w="7143" w:type="dxa"/>
          </w:tcPr>
          <w:p w14:paraId="1298CCD4">
            <w:pPr>
              <w:spacing w:before="20" w:after="20" w:line="240" w:lineRule="auto"/>
            </w:pPr>
            <w:r>
              <w:rPr>
                <w:sz w:val="19"/>
              </w:rPr>
              <w:t>REQUIRES VERIFICATION — environmental scan record from official provider pages.</w:t>
            </w:r>
          </w:p>
        </w:tc>
      </w:tr>
    </w:tbl>
    <w:p w14:paraId="249E7F74">
      <w:r>
        <w:br w:type="page"/>
      </w:r>
    </w:p>
    <w:p w14:paraId="055E304C">
      <w:pPr>
        <w:pStyle w:val="2"/>
      </w:pPr>
      <w:r>
        <w:rPr>
          <w:color w:val="002B49"/>
        </w:rPr>
        <w:t>9. SEE Program – Skills for Education and Employment</w:t>
      </w:r>
    </w:p>
    <w:p w14:paraId="1134F242">
      <w:pPr>
        <w:spacing w:before="0" w:after="120"/>
      </w:pPr>
      <w:r>
        <w:rPr>
          <w:b w:val="0"/>
          <w:i w:val="0"/>
          <w:sz w:val="21"/>
        </w:rPr>
        <w:t>The Skills for Education and Employment (SEE) Program is an Australian Government program funded by the Department of Employment and Workplace Relations that delivers free language, literacy, numeracy and digital skills training to eligible Australians. From 1 July 2024, the SEE Program was redesigned to expand eligibility to include all Australians aged over 15 who have left school, removing the requirement to be a registered job seeker.</w:t>
      </w:r>
    </w:p>
    <w:p w14:paraId="528B85ED">
      <w:pPr>
        <w:spacing w:before="0" w:after="120"/>
      </w:pPr>
      <w:r>
        <w:rPr>
          <w:b w:val="0"/>
          <w:i w:val="0"/>
          <w:sz w:val="21"/>
        </w:rPr>
        <w:t>The program is delivered nationally in two distinct and complementary streams: General SEE Delivery (skills training delivered by contracted training providers, offering accredited and non-accredited training, more support for learners, and workplace-based training options) and SEE First Nations (dedicated to whole-of-community skills training delivery for First Nations people, funded through SEE First Nations Grants to First Nations organisations).</w:t>
      </w:r>
    </w:p>
    <w:p w14:paraId="5CB7B3BE">
      <w:pPr>
        <w:pStyle w:val="3"/>
      </w:pPr>
      <w:r>
        <w:rPr>
          <w:color w:val="0066CC"/>
        </w:rPr>
        <w:t>9.1 How the SEE Program Can Help Participants</w:t>
      </w:r>
    </w:p>
    <w:p w14:paraId="38A781C4">
      <w:pPr>
        <w:spacing w:before="0" w:after="120"/>
      </w:pPr>
      <w:r>
        <w:rPr>
          <w:b w:val="0"/>
          <w:i w:val="0"/>
          <w:sz w:val="21"/>
        </w:rPr>
        <w:t>The SEE Program offers free training to improve reading, writing, maths and basic computer skills. Training is based on the participant's future goals; participants can begin at their own level and learn at their own pace, study full-time or part-time (up to 25 hours a week), learn in a classroom, at home or in their workplace, continue to care for their family or look for work, and may be able to do work experience.</w:t>
      </w:r>
    </w:p>
    <w:p w14:paraId="5F9D6B9B">
      <w:pPr>
        <w:pStyle w:val="3"/>
      </w:pPr>
      <w:r>
        <w:rPr>
          <w:color w:val="0066CC"/>
        </w:rPr>
        <w:t>9.2 SEE First Nations</w:t>
      </w:r>
    </w:p>
    <w:p w14:paraId="7CF81AA7">
      <w:pPr>
        <w:spacing w:before="0" w:after="120"/>
      </w:pPr>
      <w:r>
        <w:rPr>
          <w:b w:val="0"/>
          <w:i w:val="0"/>
          <w:sz w:val="21"/>
        </w:rPr>
        <w:t>SEE First Nations is specifically designed for First Nations people and organisations. Eligible First Nations people can choose to access SEE training through both the General SEE Delivery and SEE First Nations. SEE First Nations Grants fund place-based, whole-of-community projects designed to meet the community's LLND training needs, delivered by First Nations organisations including Aboriginal Community Controlled Organisations (ACCOs), Registered Training Organisations (RTOs), Adult Community Education (ACE) providers or peak bodies.</w:t>
      </w:r>
    </w:p>
    <w:p w14:paraId="18B8FC17">
      <w:pPr>
        <w:pStyle w:val="3"/>
      </w:pPr>
      <w:r>
        <w:rPr>
          <w:color w:val="0066CC"/>
        </w:rPr>
        <w:t>9.3 SEE Program Eligibility</w:t>
      </w:r>
    </w:p>
    <w:p w14:paraId="2B3140D6">
      <w:pPr>
        <w:spacing w:before="0" w:after="120"/>
      </w:pPr>
      <w:r>
        <w:rPr>
          <w:b w:val="0"/>
          <w:i w:val="0"/>
          <w:sz w:val="21"/>
        </w:rPr>
        <w:t>To be eligible for SEE, participants need to be an Australian citizen, a permanent visa holder, on a provisional or temporary visa with working rights and eligible for the Adult Migrant English Program (AMEP), or a Pacific Australia Labour Mobility visa holder; and be aged over 15 and left school; and need help with reading, writing, maths, English language or digital skills. Participants cannot take part in the SEE and AMEP programs at the same time.</w:t>
      </w:r>
    </w:p>
    <w:p w14:paraId="22C7B2EF">
      <w:pPr>
        <w:pStyle w:val="3"/>
      </w:pPr>
      <w:r>
        <w:rPr>
          <w:color w:val="0066CC"/>
        </w:rPr>
        <w:t>9.4 SEE for Employers, Industry Associations and Unions</w:t>
      </w:r>
    </w:p>
    <w:p w14:paraId="1466A81D">
      <w:pPr>
        <w:spacing w:before="0" w:after="120"/>
      </w:pPr>
      <w:r>
        <w:rPr>
          <w:b w:val="0"/>
          <w:i w:val="0"/>
          <w:sz w:val="21"/>
        </w:rPr>
        <w:t>The SEE Program includes Workplace-Based Training Projects where employers, industry associations and unions can partner with a SEE Provider to deliver workplace-based training to employed people, tailored to the specific needs of the business and delivered in the workplace at a convenient time. Benefits include improved verbal and written communication skills, increased confidence, enhanced digital and numeracy skills, increased knowledge and morale, and reduced staff turnover.</w:t>
      </w:r>
    </w:p>
    <w:p w14:paraId="5E199189">
      <w:pPr>
        <w:pStyle w:val="3"/>
      </w:pPr>
      <w:r>
        <w:rPr>
          <w:color w:val="0066CC"/>
        </w:rPr>
        <w:t>9.5 SEE Workplace Projects</w:t>
      </w:r>
    </w:p>
    <w:p w14:paraId="177EC812">
      <w:pPr>
        <w:spacing w:before="0" w:after="120"/>
      </w:pPr>
      <w:r>
        <w:rPr>
          <w:b w:val="0"/>
          <w:i w:val="0"/>
          <w:sz w:val="21"/>
        </w:rPr>
        <w:t>Workplace-Based Training Projects offer an opportunity for employers, industry associations and unions to partner with a SEE Provider to create tailored, job-specific training solutions delivered to staff or members, at a time and place suited to the workplace's needs. Approved SEE projects are delivered across Australia, reaching a variety of diverse cohorts, industries and locations.</w:t>
      </w:r>
    </w:p>
    <w:p w14:paraId="291DDAC6">
      <w:pPr>
        <w:pStyle w:val="3"/>
      </w:pPr>
      <w:r>
        <w:rPr>
          <w:color w:val="0066CC"/>
        </w:rPr>
        <w:t>9.6 How Is the SEE Program Delivered?</w:t>
      </w:r>
    </w:p>
    <w:p w14:paraId="2B8D7BF3">
      <w:pPr>
        <w:spacing w:before="0" w:after="120"/>
      </w:pPr>
      <w:r>
        <w:rPr>
          <w:b w:val="0"/>
          <w:i w:val="0"/>
          <w:sz w:val="21"/>
        </w:rPr>
        <w:t>SEE is delivered by a national network of 22 registered training providers across metropolitan, regional and remote Australia. For those without access to a provider site due to geographical distance or other barriers, distance learning is available anywhere in Australia. Training is flexible: part-time or full-time; in the classroom, in the workplace or online; and foundation-skills-focussed or vocational with embedded foundation skills.</w:t>
      </w:r>
    </w:p>
    <w:p w14:paraId="0177FDFA">
      <w:pPr>
        <w:pStyle w:val="3"/>
      </w:pPr>
      <w:r>
        <w:rPr>
          <w:color w:val="0066CC"/>
        </w:rPr>
        <w:t>9.7 How to Access the SEE Program</w:t>
      </w:r>
    </w:p>
    <w:p w14:paraId="1A299683">
      <w:pPr>
        <w:spacing w:before="0" w:after="120"/>
      </w:pPr>
      <w:r>
        <w:rPr>
          <w:b w:val="0"/>
          <w:i w:val="0"/>
          <w:sz w:val="21"/>
        </w:rPr>
        <w:t>To access the SEE Program, participants or services can: get in touch with their local SEE Provider; contact an employment services provider (Workforce Australia, Transition to Work, Parent Pathways, or an IEA provider); call the National Customer Service Line on 1800 805 260; or contact Services Australia.</w:t>
      </w:r>
    </w:p>
    <w:p w14:paraId="7A814494">
      <w:pPr>
        <w:pStyle w:val="3"/>
      </w:pPr>
      <w:r>
        <w:rPr>
          <w:color w:val="0066CC"/>
        </w:rPr>
        <w:t>9.8 SEE Providers in the Brisbane South East Region</w:t>
      </w:r>
    </w:p>
    <w:p w14:paraId="4E386ED0">
      <w:pPr>
        <w:spacing w:before="0" w:after="120"/>
      </w:pPr>
      <w:r>
        <w:rPr>
          <w:b w:val="0"/>
          <w:i w:val="0"/>
          <w:sz w:val="21"/>
        </w:rPr>
        <w:t>The following SEE providers were identified in the Brisbane South East environmental scan. SEE is free (Australian Government funded) for eligible participants.</w:t>
      </w:r>
    </w:p>
    <w:p w14:paraId="21D0EBF3">
      <w:pPr>
        <w:pStyle w:val="4"/>
      </w:pPr>
      <w:r>
        <w:rPr>
          <w:color w:val="002B49"/>
        </w:rPr>
        <w:t>TAFE Queensland — SEE</w:t>
      </w:r>
    </w:p>
    <w:tbl>
      <w:tblPr>
        <w:tblStyle w:val="3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30" w:type="dxa"/>
          <w:left w:w="80" w:type="dxa"/>
          <w:bottom w:w="30" w:type="dxa"/>
          <w:right w:w="80" w:type="dxa"/>
        </w:tblCellMar>
      </w:tblPr>
      <w:tblGrid>
        <w:gridCol w:w="4819"/>
        <w:gridCol w:w="4819"/>
      </w:tblGrid>
      <w:tr w14:paraId="76C3A2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30" w:type="dxa"/>
            <w:left w:w="80" w:type="dxa"/>
            <w:bottom w:w="30" w:type="dxa"/>
            <w:right w:w="80" w:type="dxa"/>
          </w:tblCellMar>
        </w:tblPrEx>
        <w:tc>
          <w:tcPr>
            <w:tcW w:w="2494" w:type="dxa"/>
            <w:shd w:val="clear" w:color="auto" w:fill="E8F4FD"/>
          </w:tcPr>
          <w:p w14:paraId="2C918E7A">
            <w:pPr>
              <w:spacing w:before="20" w:after="20" w:line="240" w:lineRule="auto"/>
            </w:pPr>
            <w:r>
              <w:rPr>
                <w:b/>
                <w:color w:val="002B49"/>
                <w:sz w:val="19"/>
              </w:rPr>
              <w:t>Organisation</w:t>
            </w:r>
          </w:p>
        </w:tc>
        <w:tc>
          <w:tcPr>
            <w:tcW w:w="7143" w:type="dxa"/>
          </w:tcPr>
          <w:p w14:paraId="680A5DEC">
            <w:pPr>
              <w:spacing w:before="20" w:after="20" w:line="240" w:lineRule="auto"/>
            </w:pPr>
            <w:r>
              <w:rPr>
                <w:sz w:val="19"/>
              </w:rPr>
              <w:t>TAFE Queensland</w:t>
            </w:r>
          </w:p>
        </w:tc>
      </w:tr>
      <w:tr w14:paraId="3FEF12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30" w:type="dxa"/>
            <w:left w:w="80" w:type="dxa"/>
            <w:bottom w:w="30" w:type="dxa"/>
            <w:right w:w="80" w:type="dxa"/>
          </w:tblCellMar>
        </w:tblPrEx>
        <w:tc>
          <w:tcPr>
            <w:tcW w:w="2494" w:type="dxa"/>
            <w:shd w:val="clear" w:color="auto" w:fill="E8F4FD"/>
          </w:tcPr>
          <w:p w14:paraId="51A906EB">
            <w:pPr>
              <w:spacing w:before="20" w:after="20" w:line="240" w:lineRule="auto"/>
            </w:pPr>
            <w:r>
              <w:rPr>
                <w:b/>
                <w:color w:val="002B49"/>
                <w:sz w:val="19"/>
              </w:rPr>
              <w:t>Program / Service</w:t>
            </w:r>
          </w:p>
        </w:tc>
        <w:tc>
          <w:tcPr>
            <w:tcW w:w="7143" w:type="dxa"/>
          </w:tcPr>
          <w:p w14:paraId="2B522D32">
            <w:pPr>
              <w:spacing w:before="20" w:after="20" w:line="240" w:lineRule="auto"/>
            </w:pPr>
            <w:r>
              <w:rPr>
                <w:sz w:val="19"/>
              </w:rPr>
              <w:t>Skills for Education and Employment (SEE)</w:t>
            </w:r>
          </w:p>
        </w:tc>
      </w:tr>
      <w:tr w14:paraId="3FE53F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30" w:type="dxa"/>
            <w:left w:w="80" w:type="dxa"/>
            <w:bottom w:w="30" w:type="dxa"/>
            <w:right w:w="80" w:type="dxa"/>
          </w:tblCellMar>
        </w:tblPrEx>
        <w:tc>
          <w:tcPr>
            <w:tcW w:w="2494" w:type="dxa"/>
            <w:shd w:val="clear" w:color="auto" w:fill="E8F4FD"/>
          </w:tcPr>
          <w:p w14:paraId="6CF0E56F">
            <w:pPr>
              <w:spacing w:before="20" w:after="20" w:line="240" w:lineRule="auto"/>
            </w:pPr>
            <w:r>
              <w:rPr>
                <w:b/>
                <w:color w:val="002B49"/>
                <w:sz w:val="19"/>
              </w:rPr>
              <w:t>Service Description</w:t>
            </w:r>
          </w:p>
        </w:tc>
        <w:tc>
          <w:tcPr>
            <w:tcW w:w="7143" w:type="dxa"/>
          </w:tcPr>
          <w:p w14:paraId="3439DF2A">
            <w:pPr>
              <w:spacing w:before="20" w:after="20" w:line="240" w:lineRule="auto"/>
            </w:pPr>
            <w:r>
              <w:rPr>
                <w:sz w:val="19"/>
              </w:rPr>
              <w:t>Conversational and written English classes, foundation maths, basic computer/digital skills, employability preparation and accredited foundation certificates.</w:t>
            </w:r>
          </w:p>
        </w:tc>
      </w:tr>
      <w:tr w14:paraId="7D8F0B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30" w:type="dxa"/>
            <w:left w:w="80" w:type="dxa"/>
            <w:bottom w:w="30" w:type="dxa"/>
            <w:right w:w="80" w:type="dxa"/>
          </w:tblCellMar>
        </w:tblPrEx>
        <w:tc>
          <w:tcPr>
            <w:tcW w:w="2494" w:type="dxa"/>
            <w:shd w:val="clear" w:color="auto" w:fill="E8F4FD"/>
          </w:tcPr>
          <w:p w14:paraId="78D459DD">
            <w:pPr>
              <w:spacing w:before="20" w:after="20" w:line="240" w:lineRule="auto"/>
            </w:pPr>
            <w:r>
              <w:rPr>
                <w:b/>
                <w:color w:val="002B49"/>
                <w:sz w:val="19"/>
              </w:rPr>
              <w:t>Who They Support</w:t>
            </w:r>
          </w:p>
        </w:tc>
        <w:tc>
          <w:tcPr>
            <w:tcW w:w="7143" w:type="dxa"/>
          </w:tcPr>
          <w:p w14:paraId="04C28D74">
            <w:pPr>
              <w:spacing w:before="20" w:after="20" w:line="240" w:lineRule="auto"/>
            </w:pPr>
            <w:r>
              <w:rPr>
                <w:sz w:val="19"/>
              </w:rPr>
              <w:t>Job seekers aged 15+, migrants, CALD individuals, and job seekers needing foundational reading, writing, maths or computer skills</w:t>
            </w:r>
          </w:p>
        </w:tc>
      </w:tr>
      <w:tr w14:paraId="64A490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30" w:type="dxa"/>
            <w:left w:w="80" w:type="dxa"/>
            <w:bottom w:w="30" w:type="dxa"/>
            <w:right w:w="80" w:type="dxa"/>
          </w:tblCellMar>
        </w:tblPrEx>
        <w:tc>
          <w:tcPr>
            <w:tcW w:w="2494" w:type="dxa"/>
            <w:shd w:val="clear" w:color="auto" w:fill="E8F4FD"/>
          </w:tcPr>
          <w:p w14:paraId="0A2BF6B8">
            <w:pPr>
              <w:spacing w:before="20" w:after="20" w:line="240" w:lineRule="auto"/>
            </w:pPr>
            <w:r>
              <w:rPr>
                <w:b/>
                <w:color w:val="002B49"/>
                <w:sz w:val="19"/>
              </w:rPr>
              <w:t>Eligibility</w:t>
            </w:r>
          </w:p>
        </w:tc>
        <w:tc>
          <w:tcPr>
            <w:tcW w:w="7143" w:type="dxa"/>
          </w:tcPr>
          <w:p w14:paraId="406FA9A0">
            <w:pPr>
              <w:spacing w:before="20" w:after="20" w:line="240" w:lineRule="auto"/>
            </w:pPr>
            <w:r>
              <w:rPr>
                <w:sz w:val="19"/>
              </w:rPr>
              <w:t>Australian citizens, permanent residents or eligible temporary visa holders aged 15+, registered with Workforce Australia/Centrelink or otherwise eligible under SEE rules</w:t>
            </w:r>
          </w:p>
        </w:tc>
      </w:tr>
      <w:tr w14:paraId="4B6CA3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30" w:type="dxa"/>
            <w:left w:w="80" w:type="dxa"/>
            <w:bottom w:w="30" w:type="dxa"/>
            <w:right w:w="80" w:type="dxa"/>
          </w:tblCellMar>
        </w:tblPrEx>
        <w:tc>
          <w:tcPr>
            <w:tcW w:w="2494" w:type="dxa"/>
            <w:shd w:val="clear" w:color="auto" w:fill="E8F4FD"/>
          </w:tcPr>
          <w:p w14:paraId="6925D2FF">
            <w:pPr>
              <w:spacing w:before="20" w:after="20" w:line="240" w:lineRule="auto"/>
            </w:pPr>
            <w:r>
              <w:rPr>
                <w:b/>
                <w:color w:val="002B49"/>
                <w:sz w:val="19"/>
              </w:rPr>
              <w:t>Location / Coverage</w:t>
            </w:r>
          </w:p>
        </w:tc>
        <w:tc>
          <w:tcPr>
            <w:tcW w:w="7143" w:type="dxa"/>
          </w:tcPr>
          <w:p w14:paraId="11730735">
            <w:pPr>
              <w:spacing w:before="20" w:after="20" w:line="240" w:lineRule="auto"/>
            </w:pPr>
            <w:r>
              <w:rPr>
                <w:sz w:val="19"/>
              </w:rPr>
              <w:t>Loganlea Campus (Armstrong Road, Meadowbrook QLD 4131); South Bank Campus (66 Ernest Street, South Brisbane QLD 4101); coverage of Meadowbrook, Loganlea, Springwood, Woodridge and broader South East Queensland (scan-recorded)</w:t>
            </w:r>
          </w:p>
        </w:tc>
      </w:tr>
      <w:tr w14:paraId="148808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30" w:type="dxa"/>
            <w:left w:w="80" w:type="dxa"/>
            <w:bottom w:w="30" w:type="dxa"/>
            <w:right w:w="80" w:type="dxa"/>
          </w:tblCellMar>
        </w:tblPrEx>
        <w:tc>
          <w:tcPr>
            <w:tcW w:w="2494" w:type="dxa"/>
            <w:shd w:val="clear" w:color="auto" w:fill="E8F4FD"/>
          </w:tcPr>
          <w:p w14:paraId="1A5E2218">
            <w:pPr>
              <w:spacing w:before="20" w:after="20" w:line="240" w:lineRule="auto"/>
            </w:pPr>
            <w:r>
              <w:rPr>
                <w:b/>
                <w:color w:val="002B49"/>
                <w:sz w:val="19"/>
              </w:rPr>
              <w:t>Phone</w:t>
            </w:r>
          </w:p>
        </w:tc>
        <w:tc>
          <w:tcPr>
            <w:tcW w:w="7143" w:type="dxa"/>
          </w:tcPr>
          <w:p w14:paraId="7DC6F669">
            <w:pPr>
              <w:spacing w:before="20" w:after="20" w:line="240" w:lineRule="auto"/>
            </w:pPr>
            <w:r>
              <w:rPr>
                <w:sz w:val="19"/>
              </w:rPr>
              <w:t>1300 308 233</w:t>
            </w:r>
          </w:p>
        </w:tc>
      </w:tr>
      <w:tr w14:paraId="3DA6B4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30" w:type="dxa"/>
            <w:left w:w="80" w:type="dxa"/>
            <w:bottom w:w="30" w:type="dxa"/>
            <w:right w:w="80" w:type="dxa"/>
          </w:tblCellMar>
        </w:tblPrEx>
        <w:tc>
          <w:tcPr>
            <w:tcW w:w="2494" w:type="dxa"/>
            <w:shd w:val="clear" w:color="auto" w:fill="E8F4FD"/>
          </w:tcPr>
          <w:p w14:paraId="4804C974">
            <w:pPr>
              <w:spacing w:before="20" w:after="20" w:line="240" w:lineRule="auto"/>
            </w:pPr>
            <w:r>
              <w:rPr>
                <w:b/>
                <w:color w:val="002B49"/>
                <w:sz w:val="19"/>
              </w:rPr>
              <w:t>Email</w:t>
            </w:r>
          </w:p>
        </w:tc>
        <w:tc>
          <w:tcPr>
            <w:tcW w:w="7143" w:type="dxa"/>
          </w:tcPr>
          <w:p w14:paraId="33612C33">
            <w:pPr>
              <w:spacing w:before="20" w:after="20" w:line="240" w:lineRule="auto"/>
            </w:pPr>
            <w:r>
              <w:rPr>
                <w:sz w:val="19"/>
              </w:rPr>
              <w:t>see.logan@tafeqld.edu.au</w:t>
            </w:r>
          </w:p>
        </w:tc>
      </w:tr>
      <w:tr w14:paraId="01D2C5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30" w:type="dxa"/>
            <w:left w:w="80" w:type="dxa"/>
            <w:bottom w:w="30" w:type="dxa"/>
            <w:right w:w="80" w:type="dxa"/>
          </w:tblCellMar>
        </w:tblPrEx>
        <w:tc>
          <w:tcPr>
            <w:tcW w:w="2494" w:type="dxa"/>
            <w:shd w:val="clear" w:color="auto" w:fill="E8F4FD"/>
          </w:tcPr>
          <w:p w14:paraId="03F3CD5A">
            <w:pPr>
              <w:spacing w:before="20" w:after="20" w:line="240" w:lineRule="auto"/>
            </w:pPr>
            <w:r>
              <w:rPr>
                <w:b/>
                <w:color w:val="002B49"/>
                <w:sz w:val="19"/>
              </w:rPr>
              <w:t>Website</w:t>
            </w:r>
          </w:p>
        </w:tc>
        <w:tc>
          <w:tcPr>
            <w:tcW w:w="7143" w:type="dxa"/>
          </w:tcPr>
          <w:p w14:paraId="71B9B0E4">
            <w:pPr>
              <w:spacing w:before="20" w:after="20" w:line="240" w:lineRule="auto"/>
            </w:pPr>
            <w:r>
              <w:fldChar w:fldCharType="begin"/>
            </w:r>
            <w:r>
              <w:instrText xml:space="preserve"> HYPERLINK "https://tafeqld.edu.au/courses/course-types/tells/see" \h </w:instrText>
            </w:r>
            <w:r>
              <w:fldChar w:fldCharType="separate"/>
            </w:r>
            <w:r>
              <w:rPr>
                <w:rFonts w:ascii="Calibri" w:hAnsi="Calibri"/>
                <w:color w:val="0066CC"/>
                <w:sz w:val="19"/>
                <w:u w:val="single"/>
              </w:rPr>
              <w:t>https://tafeqld.edu.au/courses/course-types/tells/see</w:t>
            </w:r>
            <w:r>
              <w:rPr>
                <w:rFonts w:ascii="Calibri" w:hAnsi="Calibri"/>
                <w:color w:val="0066CC"/>
                <w:sz w:val="19"/>
                <w:u w:val="single"/>
              </w:rPr>
              <w:fldChar w:fldCharType="end"/>
            </w:r>
          </w:p>
        </w:tc>
      </w:tr>
      <w:tr w14:paraId="1A305C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30" w:type="dxa"/>
            <w:left w:w="80" w:type="dxa"/>
            <w:bottom w:w="30" w:type="dxa"/>
            <w:right w:w="80" w:type="dxa"/>
          </w:tblCellMar>
        </w:tblPrEx>
        <w:tc>
          <w:tcPr>
            <w:tcW w:w="2494" w:type="dxa"/>
            <w:shd w:val="clear" w:color="auto" w:fill="E8F4FD"/>
          </w:tcPr>
          <w:p w14:paraId="3832EFFB">
            <w:pPr>
              <w:spacing w:before="20" w:after="20" w:line="240" w:lineRule="auto"/>
            </w:pPr>
            <w:r>
              <w:rPr>
                <w:b/>
                <w:color w:val="002B49"/>
                <w:sz w:val="19"/>
              </w:rPr>
              <w:t>Referral / Intake</w:t>
            </w:r>
          </w:p>
        </w:tc>
        <w:tc>
          <w:tcPr>
            <w:tcW w:w="7143" w:type="dxa"/>
          </w:tcPr>
          <w:p w14:paraId="7B5BFE54">
            <w:pPr>
              <w:spacing w:before="20" w:after="20" w:line="240" w:lineRule="auto"/>
            </w:pPr>
            <w:r>
              <w:rPr>
                <w:sz w:val="19"/>
              </w:rPr>
              <w:t>Direct online referral form, phone contact, or referral via a Workforce Australia provider/Centrelink</w:t>
            </w:r>
          </w:p>
        </w:tc>
      </w:tr>
      <w:tr w14:paraId="34F3B9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30" w:type="dxa"/>
            <w:left w:w="80" w:type="dxa"/>
            <w:bottom w:w="30" w:type="dxa"/>
            <w:right w:w="80" w:type="dxa"/>
          </w:tblCellMar>
        </w:tblPrEx>
        <w:tc>
          <w:tcPr>
            <w:tcW w:w="2494" w:type="dxa"/>
            <w:shd w:val="clear" w:color="auto" w:fill="E8F4FD"/>
          </w:tcPr>
          <w:p w14:paraId="676D7EAD">
            <w:pPr>
              <w:spacing w:before="20" w:after="20" w:line="240" w:lineRule="auto"/>
            </w:pPr>
            <w:r>
              <w:rPr>
                <w:b/>
                <w:color w:val="002B49"/>
                <w:sz w:val="19"/>
              </w:rPr>
              <w:t>Verification Status</w:t>
            </w:r>
          </w:p>
        </w:tc>
        <w:tc>
          <w:tcPr>
            <w:tcW w:w="7143" w:type="dxa"/>
          </w:tcPr>
          <w:p w14:paraId="6958343D">
            <w:pPr>
              <w:spacing w:before="20" w:after="20" w:line="240" w:lineRule="auto"/>
            </w:pPr>
            <w:r>
              <w:rPr>
                <w:sz w:val="19"/>
              </w:rPr>
              <w:t>REQUIRES VERIFICATION — environmental scan record from official TAFE Queensland pages.</w:t>
            </w:r>
          </w:p>
        </w:tc>
      </w:tr>
    </w:tbl>
    <w:p w14:paraId="6E551775">
      <w:pPr>
        <w:pStyle w:val="4"/>
      </w:pPr>
      <w:r>
        <w:rPr>
          <w:color w:val="002B49"/>
        </w:rPr>
        <w:t>MAX Solutions — SEE</w:t>
      </w:r>
    </w:p>
    <w:tbl>
      <w:tblPr>
        <w:tblStyle w:val="3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30" w:type="dxa"/>
          <w:left w:w="80" w:type="dxa"/>
          <w:bottom w:w="30" w:type="dxa"/>
          <w:right w:w="80" w:type="dxa"/>
        </w:tblCellMar>
      </w:tblPr>
      <w:tblGrid>
        <w:gridCol w:w="4819"/>
        <w:gridCol w:w="4819"/>
      </w:tblGrid>
      <w:tr w14:paraId="2C152D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30" w:type="dxa"/>
            <w:left w:w="80" w:type="dxa"/>
            <w:bottom w:w="30" w:type="dxa"/>
            <w:right w:w="80" w:type="dxa"/>
          </w:tblCellMar>
        </w:tblPrEx>
        <w:tc>
          <w:tcPr>
            <w:tcW w:w="2494" w:type="dxa"/>
            <w:shd w:val="clear" w:color="auto" w:fill="E8F4FD"/>
          </w:tcPr>
          <w:p w14:paraId="79C59AEE">
            <w:pPr>
              <w:spacing w:before="20" w:after="20" w:line="240" w:lineRule="auto"/>
            </w:pPr>
            <w:r>
              <w:rPr>
                <w:b/>
                <w:color w:val="002B49"/>
                <w:sz w:val="19"/>
              </w:rPr>
              <w:t>Organisation</w:t>
            </w:r>
          </w:p>
        </w:tc>
        <w:tc>
          <w:tcPr>
            <w:tcW w:w="7143" w:type="dxa"/>
          </w:tcPr>
          <w:p w14:paraId="43633B52">
            <w:pPr>
              <w:spacing w:before="20" w:after="20" w:line="240" w:lineRule="auto"/>
            </w:pPr>
            <w:r>
              <w:rPr>
                <w:sz w:val="19"/>
              </w:rPr>
              <w:t>MAX Solutions (MAX Network Pty Ltd)</w:t>
            </w:r>
          </w:p>
        </w:tc>
      </w:tr>
      <w:tr w14:paraId="177D9E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30" w:type="dxa"/>
            <w:left w:w="80" w:type="dxa"/>
            <w:bottom w:w="30" w:type="dxa"/>
            <w:right w:w="80" w:type="dxa"/>
          </w:tblCellMar>
        </w:tblPrEx>
        <w:tc>
          <w:tcPr>
            <w:tcW w:w="2494" w:type="dxa"/>
            <w:shd w:val="clear" w:color="auto" w:fill="E8F4FD"/>
          </w:tcPr>
          <w:p w14:paraId="14A7FEA1">
            <w:pPr>
              <w:spacing w:before="20" w:after="20" w:line="240" w:lineRule="auto"/>
            </w:pPr>
            <w:r>
              <w:rPr>
                <w:b/>
                <w:color w:val="002B49"/>
                <w:sz w:val="19"/>
              </w:rPr>
              <w:t>Program / Service</w:t>
            </w:r>
          </w:p>
        </w:tc>
        <w:tc>
          <w:tcPr>
            <w:tcW w:w="7143" w:type="dxa"/>
          </w:tcPr>
          <w:p w14:paraId="69F6302E">
            <w:pPr>
              <w:spacing w:before="20" w:after="20" w:line="240" w:lineRule="auto"/>
            </w:pPr>
            <w:r>
              <w:rPr>
                <w:sz w:val="19"/>
              </w:rPr>
              <w:t>Skills for Education and Employment (SEE)</w:t>
            </w:r>
          </w:p>
        </w:tc>
      </w:tr>
      <w:tr w14:paraId="4E4388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30" w:type="dxa"/>
            <w:left w:w="80" w:type="dxa"/>
            <w:bottom w:w="30" w:type="dxa"/>
            <w:right w:w="80" w:type="dxa"/>
          </w:tblCellMar>
        </w:tblPrEx>
        <w:tc>
          <w:tcPr>
            <w:tcW w:w="2494" w:type="dxa"/>
            <w:shd w:val="clear" w:color="auto" w:fill="E8F4FD"/>
          </w:tcPr>
          <w:p w14:paraId="2AD67BB3">
            <w:pPr>
              <w:spacing w:before="20" w:after="20" w:line="240" w:lineRule="auto"/>
            </w:pPr>
            <w:r>
              <w:rPr>
                <w:b/>
                <w:color w:val="002B49"/>
                <w:sz w:val="19"/>
              </w:rPr>
              <w:t>Service Description</w:t>
            </w:r>
          </w:p>
        </w:tc>
        <w:tc>
          <w:tcPr>
            <w:tcW w:w="7143" w:type="dxa"/>
          </w:tcPr>
          <w:p w14:paraId="3428B089">
            <w:pPr>
              <w:spacing w:before="20" w:after="20" w:line="240" w:lineRule="auto"/>
            </w:pPr>
            <w:r>
              <w:rPr>
                <w:sz w:val="19"/>
              </w:rPr>
              <w:t>Practical LLND training, digital literacy, job application help, resume building and pathway planning to further study or employment.</w:t>
            </w:r>
          </w:p>
        </w:tc>
      </w:tr>
      <w:tr w14:paraId="2610E6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30" w:type="dxa"/>
            <w:left w:w="80" w:type="dxa"/>
            <w:bottom w:w="30" w:type="dxa"/>
            <w:right w:w="80" w:type="dxa"/>
          </w:tblCellMar>
        </w:tblPrEx>
        <w:tc>
          <w:tcPr>
            <w:tcW w:w="2494" w:type="dxa"/>
            <w:shd w:val="clear" w:color="auto" w:fill="E8F4FD"/>
          </w:tcPr>
          <w:p w14:paraId="1A04BEB5">
            <w:pPr>
              <w:spacing w:before="20" w:after="20" w:line="240" w:lineRule="auto"/>
            </w:pPr>
            <w:r>
              <w:rPr>
                <w:b/>
                <w:color w:val="002B49"/>
                <w:sz w:val="19"/>
              </w:rPr>
              <w:t>Who They Support</w:t>
            </w:r>
          </w:p>
        </w:tc>
        <w:tc>
          <w:tcPr>
            <w:tcW w:w="7143" w:type="dxa"/>
          </w:tcPr>
          <w:p w14:paraId="7F4F2EBE">
            <w:pPr>
              <w:spacing w:before="20" w:after="20" w:line="240" w:lineRule="auto"/>
            </w:pPr>
            <w:r>
              <w:rPr>
                <w:sz w:val="19"/>
              </w:rPr>
              <w:t>Job seekers needing assistance with English literacy, numeracy, digital skills and workplace communication</w:t>
            </w:r>
          </w:p>
        </w:tc>
      </w:tr>
      <w:tr w14:paraId="628277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30" w:type="dxa"/>
            <w:left w:w="80" w:type="dxa"/>
            <w:bottom w:w="30" w:type="dxa"/>
            <w:right w:w="80" w:type="dxa"/>
          </w:tblCellMar>
        </w:tblPrEx>
        <w:tc>
          <w:tcPr>
            <w:tcW w:w="2494" w:type="dxa"/>
            <w:shd w:val="clear" w:color="auto" w:fill="E8F4FD"/>
          </w:tcPr>
          <w:p w14:paraId="3421DB24">
            <w:pPr>
              <w:spacing w:before="20" w:after="20" w:line="240" w:lineRule="auto"/>
            </w:pPr>
            <w:r>
              <w:rPr>
                <w:b/>
                <w:color w:val="002B49"/>
                <w:sz w:val="19"/>
              </w:rPr>
              <w:t>Location / Coverage</w:t>
            </w:r>
          </w:p>
        </w:tc>
        <w:tc>
          <w:tcPr>
            <w:tcW w:w="7143" w:type="dxa"/>
          </w:tcPr>
          <w:p w14:paraId="7159E9FD">
            <w:pPr>
              <w:spacing w:before="20" w:after="20" w:line="240" w:lineRule="auto"/>
            </w:pPr>
            <w:r>
              <w:rPr>
                <w:sz w:val="19"/>
              </w:rPr>
              <w:t>Meadowbrook (Level 1, 1 Logandowns Drive, Meadowbrook QLD 4131); Springwood (12–14 Commerce Drive, Springwood QLD 4127); also Logan Central and Woodridge (scan-recorded)</w:t>
            </w:r>
          </w:p>
        </w:tc>
      </w:tr>
      <w:tr w14:paraId="4E2FC9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30" w:type="dxa"/>
            <w:left w:w="80" w:type="dxa"/>
            <w:bottom w:w="30" w:type="dxa"/>
            <w:right w:w="80" w:type="dxa"/>
          </w:tblCellMar>
        </w:tblPrEx>
        <w:tc>
          <w:tcPr>
            <w:tcW w:w="2494" w:type="dxa"/>
            <w:shd w:val="clear" w:color="auto" w:fill="E8F4FD"/>
          </w:tcPr>
          <w:p w14:paraId="3E29DBA3">
            <w:pPr>
              <w:spacing w:before="20" w:after="20" w:line="240" w:lineRule="auto"/>
            </w:pPr>
            <w:r>
              <w:rPr>
                <w:b/>
                <w:color w:val="002B49"/>
                <w:sz w:val="19"/>
              </w:rPr>
              <w:t>Phone</w:t>
            </w:r>
          </w:p>
        </w:tc>
        <w:tc>
          <w:tcPr>
            <w:tcW w:w="7143" w:type="dxa"/>
          </w:tcPr>
          <w:p w14:paraId="7B4E9AA9">
            <w:pPr>
              <w:spacing w:before="20" w:after="20" w:line="240" w:lineRule="auto"/>
            </w:pPr>
            <w:r>
              <w:rPr>
                <w:sz w:val="19"/>
              </w:rPr>
              <w:t>1800 021 560 / 1800 025 102</w:t>
            </w:r>
          </w:p>
        </w:tc>
      </w:tr>
      <w:tr w14:paraId="22B1C9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30" w:type="dxa"/>
            <w:left w:w="80" w:type="dxa"/>
            <w:bottom w:w="30" w:type="dxa"/>
            <w:right w:w="80" w:type="dxa"/>
          </w:tblCellMar>
        </w:tblPrEx>
        <w:tc>
          <w:tcPr>
            <w:tcW w:w="2494" w:type="dxa"/>
            <w:shd w:val="clear" w:color="auto" w:fill="E8F4FD"/>
          </w:tcPr>
          <w:p w14:paraId="17BAEACB">
            <w:pPr>
              <w:spacing w:before="20" w:after="20" w:line="240" w:lineRule="auto"/>
            </w:pPr>
            <w:r>
              <w:rPr>
                <w:b/>
                <w:color w:val="002B49"/>
                <w:sz w:val="19"/>
              </w:rPr>
              <w:t>Email</w:t>
            </w:r>
          </w:p>
        </w:tc>
        <w:tc>
          <w:tcPr>
            <w:tcW w:w="7143" w:type="dxa"/>
          </w:tcPr>
          <w:p w14:paraId="51FAF149">
            <w:pPr>
              <w:spacing w:before="20" w:after="20" w:line="240" w:lineRule="auto"/>
            </w:pPr>
            <w:r>
              <w:rPr>
                <w:sz w:val="19"/>
              </w:rPr>
              <w:t>info@maxsolutions.edu.au</w:t>
            </w:r>
          </w:p>
        </w:tc>
      </w:tr>
      <w:tr w14:paraId="6A2BDB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30" w:type="dxa"/>
            <w:left w:w="80" w:type="dxa"/>
            <w:bottom w:w="30" w:type="dxa"/>
            <w:right w:w="80" w:type="dxa"/>
          </w:tblCellMar>
        </w:tblPrEx>
        <w:tc>
          <w:tcPr>
            <w:tcW w:w="2494" w:type="dxa"/>
            <w:shd w:val="clear" w:color="auto" w:fill="E8F4FD"/>
          </w:tcPr>
          <w:p w14:paraId="31074F67">
            <w:pPr>
              <w:spacing w:before="20" w:after="20" w:line="240" w:lineRule="auto"/>
            </w:pPr>
            <w:r>
              <w:rPr>
                <w:b/>
                <w:color w:val="002B49"/>
                <w:sz w:val="19"/>
              </w:rPr>
              <w:t>Website</w:t>
            </w:r>
          </w:p>
        </w:tc>
        <w:tc>
          <w:tcPr>
            <w:tcW w:w="7143" w:type="dxa"/>
          </w:tcPr>
          <w:p w14:paraId="4D421848">
            <w:pPr>
              <w:spacing w:before="20" w:after="20" w:line="240" w:lineRule="auto"/>
            </w:pPr>
            <w:r>
              <w:fldChar w:fldCharType="begin"/>
            </w:r>
            <w:r>
              <w:instrText xml:space="preserve"> HYPERLINK "https://www.maxsolutions.edu.au/english-language-and-literacy-services/skills-for-education-and-employment-see-program" \h </w:instrText>
            </w:r>
            <w:r>
              <w:fldChar w:fldCharType="separate"/>
            </w:r>
            <w:r>
              <w:rPr>
                <w:rFonts w:ascii="Calibri" w:hAnsi="Calibri"/>
                <w:color w:val="0066CC"/>
                <w:sz w:val="19"/>
                <w:u w:val="single"/>
              </w:rPr>
              <w:t>https://www.maxsolutions.edu.au/english-language-and-literacy-services/skills-for-education-and-employment-see-program</w:t>
            </w:r>
            <w:r>
              <w:rPr>
                <w:rFonts w:ascii="Calibri" w:hAnsi="Calibri"/>
                <w:color w:val="0066CC"/>
                <w:sz w:val="19"/>
                <w:u w:val="single"/>
              </w:rPr>
              <w:fldChar w:fldCharType="end"/>
            </w:r>
          </w:p>
        </w:tc>
      </w:tr>
      <w:tr w14:paraId="154DEA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30" w:type="dxa"/>
            <w:left w:w="80" w:type="dxa"/>
            <w:bottom w:w="30" w:type="dxa"/>
            <w:right w:w="80" w:type="dxa"/>
          </w:tblCellMar>
        </w:tblPrEx>
        <w:tc>
          <w:tcPr>
            <w:tcW w:w="2494" w:type="dxa"/>
            <w:shd w:val="clear" w:color="auto" w:fill="E8F4FD"/>
          </w:tcPr>
          <w:p w14:paraId="27A25111">
            <w:pPr>
              <w:spacing w:before="20" w:after="20" w:line="240" w:lineRule="auto"/>
            </w:pPr>
            <w:r>
              <w:rPr>
                <w:b/>
                <w:color w:val="002B49"/>
                <w:sz w:val="19"/>
              </w:rPr>
              <w:t>Referral / Intake</w:t>
            </w:r>
          </w:p>
        </w:tc>
        <w:tc>
          <w:tcPr>
            <w:tcW w:w="7143" w:type="dxa"/>
          </w:tcPr>
          <w:p w14:paraId="3E4A9626">
            <w:pPr>
              <w:spacing w:before="20" w:after="20" w:line="240" w:lineRule="auto"/>
            </w:pPr>
            <w:r>
              <w:rPr>
                <w:sz w:val="19"/>
              </w:rPr>
              <w:t>Online inquiry form, phone intake, or direct Services Australia/Centrelink referral</w:t>
            </w:r>
          </w:p>
        </w:tc>
      </w:tr>
      <w:tr w14:paraId="18E109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30" w:type="dxa"/>
            <w:left w:w="80" w:type="dxa"/>
            <w:bottom w:w="30" w:type="dxa"/>
            <w:right w:w="80" w:type="dxa"/>
          </w:tblCellMar>
        </w:tblPrEx>
        <w:tc>
          <w:tcPr>
            <w:tcW w:w="2494" w:type="dxa"/>
            <w:shd w:val="clear" w:color="auto" w:fill="E8F4FD"/>
          </w:tcPr>
          <w:p w14:paraId="7C18DB17">
            <w:pPr>
              <w:spacing w:before="20" w:after="20" w:line="240" w:lineRule="auto"/>
            </w:pPr>
            <w:r>
              <w:rPr>
                <w:b/>
                <w:color w:val="002B49"/>
                <w:sz w:val="19"/>
              </w:rPr>
              <w:t>Verification Status</w:t>
            </w:r>
          </w:p>
        </w:tc>
        <w:tc>
          <w:tcPr>
            <w:tcW w:w="7143" w:type="dxa"/>
          </w:tcPr>
          <w:p w14:paraId="1D980B5E">
            <w:pPr>
              <w:spacing w:before="20" w:after="20" w:line="240" w:lineRule="auto"/>
            </w:pPr>
            <w:r>
              <w:rPr>
                <w:sz w:val="19"/>
              </w:rPr>
              <w:t>REQUIRES VERIFICATION — environmental scan record from official provider pages.</w:t>
            </w:r>
          </w:p>
        </w:tc>
      </w:tr>
    </w:tbl>
    <w:p w14:paraId="112F3ED4">
      <w:pPr>
        <w:pStyle w:val="4"/>
      </w:pPr>
      <w:r>
        <w:rPr>
          <w:color w:val="002B49"/>
        </w:rPr>
        <w:t>Enterprise &amp; Training Company (ETC) — SEE</w:t>
      </w:r>
    </w:p>
    <w:tbl>
      <w:tblPr>
        <w:tblStyle w:val="3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30" w:type="dxa"/>
          <w:left w:w="80" w:type="dxa"/>
          <w:bottom w:w="30" w:type="dxa"/>
          <w:right w:w="80" w:type="dxa"/>
        </w:tblCellMar>
      </w:tblPr>
      <w:tblGrid>
        <w:gridCol w:w="4819"/>
        <w:gridCol w:w="4819"/>
      </w:tblGrid>
      <w:tr w14:paraId="0CF563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30" w:type="dxa"/>
            <w:left w:w="80" w:type="dxa"/>
            <w:bottom w:w="30" w:type="dxa"/>
            <w:right w:w="80" w:type="dxa"/>
          </w:tblCellMar>
        </w:tblPrEx>
        <w:tc>
          <w:tcPr>
            <w:tcW w:w="2494" w:type="dxa"/>
            <w:shd w:val="clear" w:color="auto" w:fill="E8F4FD"/>
          </w:tcPr>
          <w:p w14:paraId="4E3A6A5E">
            <w:pPr>
              <w:spacing w:before="20" w:after="20" w:line="240" w:lineRule="auto"/>
            </w:pPr>
            <w:r>
              <w:rPr>
                <w:b/>
                <w:color w:val="002B49"/>
                <w:sz w:val="19"/>
              </w:rPr>
              <w:t>Organisation</w:t>
            </w:r>
          </w:p>
        </w:tc>
        <w:tc>
          <w:tcPr>
            <w:tcW w:w="7143" w:type="dxa"/>
          </w:tcPr>
          <w:p w14:paraId="4963DF0A">
            <w:pPr>
              <w:spacing w:before="20" w:after="20" w:line="240" w:lineRule="auto"/>
            </w:pPr>
            <w:r>
              <w:rPr>
                <w:sz w:val="19"/>
              </w:rPr>
              <w:t>Enterprise &amp; Training Company Limited (ETC)</w:t>
            </w:r>
          </w:p>
        </w:tc>
      </w:tr>
      <w:tr w14:paraId="7338F1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30" w:type="dxa"/>
            <w:left w:w="80" w:type="dxa"/>
            <w:bottom w:w="30" w:type="dxa"/>
            <w:right w:w="80" w:type="dxa"/>
          </w:tblCellMar>
        </w:tblPrEx>
        <w:tc>
          <w:tcPr>
            <w:tcW w:w="2494" w:type="dxa"/>
            <w:shd w:val="clear" w:color="auto" w:fill="E8F4FD"/>
          </w:tcPr>
          <w:p w14:paraId="2EE1F813">
            <w:pPr>
              <w:spacing w:before="20" w:after="20" w:line="240" w:lineRule="auto"/>
            </w:pPr>
            <w:r>
              <w:rPr>
                <w:b/>
                <w:color w:val="002B49"/>
                <w:sz w:val="19"/>
              </w:rPr>
              <w:t>Program / Service</w:t>
            </w:r>
          </w:p>
        </w:tc>
        <w:tc>
          <w:tcPr>
            <w:tcW w:w="7143" w:type="dxa"/>
          </w:tcPr>
          <w:p w14:paraId="03011459">
            <w:pPr>
              <w:spacing w:before="20" w:after="20" w:line="240" w:lineRule="auto"/>
            </w:pPr>
            <w:r>
              <w:rPr>
                <w:sz w:val="19"/>
              </w:rPr>
              <w:t>Language, Literacy and Numeracy Program (SEE)</w:t>
            </w:r>
          </w:p>
        </w:tc>
      </w:tr>
      <w:tr w14:paraId="012D00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30" w:type="dxa"/>
            <w:left w:w="80" w:type="dxa"/>
            <w:bottom w:w="30" w:type="dxa"/>
            <w:right w:w="80" w:type="dxa"/>
          </w:tblCellMar>
        </w:tblPrEx>
        <w:tc>
          <w:tcPr>
            <w:tcW w:w="2494" w:type="dxa"/>
            <w:shd w:val="clear" w:color="auto" w:fill="E8F4FD"/>
          </w:tcPr>
          <w:p w14:paraId="39CC03F5">
            <w:pPr>
              <w:spacing w:before="20" w:after="20" w:line="240" w:lineRule="auto"/>
            </w:pPr>
            <w:r>
              <w:rPr>
                <w:b/>
                <w:color w:val="002B49"/>
                <w:sz w:val="19"/>
              </w:rPr>
              <w:t>Service Description</w:t>
            </w:r>
          </w:p>
        </w:tc>
        <w:tc>
          <w:tcPr>
            <w:tcW w:w="7143" w:type="dxa"/>
          </w:tcPr>
          <w:p w14:paraId="7982257A">
            <w:pPr>
              <w:spacing w:before="20" w:after="20" w:line="240" w:lineRule="auto"/>
            </w:pPr>
            <w:r>
              <w:rPr>
                <w:sz w:val="19"/>
              </w:rPr>
              <w:t>Tailored language classes, digital literacy, workplace literacy support, and flexible face-to-face or virtual learning options.</w:t>
            </w:r>
          </w:p>
        </w:tc>
      </w:tr>
      <w:tr w14:paraId="245534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30" w:type="dxa"/>
            <w:left w:w="80" w:type="dxa"/>
            <w:bottom w:w="30" w:type="dxa"/>
            <w:right w:w="80" w:type="dxa"/>
          </w:tblCellMar>
        </w:tblPrEx>
        <w:tc>
          <w:tcPr>
            <w:tcW w:w="2494" w:type="dxa"/>
            <w:shd w:val="clear" w:color="auto" w:fill="E8F4FD"/>
          </w:tcPr>
          <w:p w14:paraId="384E1B86">
            <w:pPr>
              <w:spacing w:before="20" w:after="20" w:line="240" w:lineRule="auto"/>
            </w:pPr>
            <w:r>
              <w:rPr>
                <w:b/>
                <w:color w:val="002B49"/>
                <w:sz w:val="19"/>
              </w:rPr>
              <w:t>Who They Support</w:t>
            </w:r>
          </w:p>
        </w:tc>
        <w:tc>
          <w:tcPr>
            <w:tcW w:w="7143" w:type="dxa"/>
          </w:tcPr>
          <w:p w14:paraId="5A4641CF">
            <w:pPr>
              <w:spacing w:before="20" w:after="20" w:line="240" w:lineRule="auto"/>
            </w:pPr>
            <w:r>
              <w:rPr>
                <w:sz w:val="19"/>
              </w:rPr>
              <w:t>Job seekers who want to improve reading, writing, computer or maths skills to get a job or take on further study</w:t>
            </w:r>
          </w:p>
        </w:tc>
      </w:tr>
      <w:tr w14:paraId="54851C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30" w:type="dxa"/>
            <w:left w:w="80" w:type="dxa"/>
            <w:bottom w:w="30" w:type="dxa"/>
            <w:right w:w="80" w:type="dxa"/>
          </w:tblCellMar>
        </w:tblPrEx>
        <w:tc>
          <w:tcPr>
            <w:tcW w:w="2494" w:type="dxa"/>
            <w:shd w:val="clear" w:color="auto" w:fill="E8F4FD"/>
          </w:tcPr>
          <w:p w14:paraId="17233ADC">
            <w:pPr>
              <w:spacing w:before="20" w:after="20" w:line="240" w:lineRule="auto"/>
            </w:pPr>
            <w:r>
              <w:rPr>
                <w:b/>
                <w:color w:val="002B49"/>
                <w:sz w:val="19"/>
              </w:rPr>
              <w:t>Eligibility</w:t>
            </w:r>
          </w:p>
        </w:tc>
        <w:tc>
          <w:tcPr>
            <w:tcW w:w="7143" w:type="dxa"/>
          </w:tcPr>
          <w:p w14:paraId="2A136EB9">
            <w:pPr>
              <w:spacing w:before="20" w:after="20" w:line="240" w:lineRule="auto"/>
            </w:pPr>
            <w:r>
              <w:rPr>
                <w:sz w:val="19"/>
              </w:rPr>
              <w:t>SEE eligibility applies (Section 9.3): citizen, permanent visa holder, eligible provisional/temporary visa holder with working rights and AMEP eligibility, or PALM visa holder; aged over 15 and left school</w:t>
            </w:r>
          </w:p>
        </w:tc>
      </w:tr>
      <w:tr w14:paraId="3D2AFF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30" w:type="dxa"/>
            <w:left w:w="80" w:type="dxa"/>
            <w:bottom w:w="30" w:type="dxa"/>
            <w:right w:w="80" w:type="dxa"/>
          </w:tblCellMar>
        </w:tblPrEx>
        <w:tc>
          <w:tcPr>
            <w:tcW w:w="2494" w:type="dxa"/>
            <w:shd w:val="clear" w:color="auto" w:fill="E8F4FD"/>
          </w:tcPr>
          <w:p w14:paraId="6A8036A3">
            <w:pPr>
              <w:spacing w:before="20" w:after="20" w:line="240" w:lineRule="auto"/>
            </w:pPr>
            <w:r>
              <w:rPr>
                <w:b/>
                <w:color w:val="002B49"/>
                <w:sz w:val="19"/>
              </w:rPr>
              <w:t>Location / Coverage</w:t>
            </w:r>
          </w:p>
        </w:tc>
        <w:tc>
          <w:tcPr>
            <w:tcW w:w="7143" w:type="dxa"/>
          </w:tcPr>
          <w:p w14:paraId="0D0BCFD0">
            <w:pPr>
              <w:spacing w:before="20" w:after="20" w:line="240" w:lineRule="auto"/>
            </w:pPr>
            <w:r>
              <w:rPr>
                <w:sz w:val="19"/>
              </w:rPr>
              <w:t>Servicing the Logan and South Brisbane region through outreach and training hubs, including Logan, Springwood, Woodridge and Acacia Ridge (scan-recorded)</w:t>
            </w:r>
          </w:p>
        </w:tc>
      </w:tr>
      <w:tr w14:paraId="52835A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30" w:type="dxa"/>
            <w:left w:w="80" w:type="dxa"/>
            <w:bottom w:w="30" w:type="dxa"/>
            <w:right w:w="80" w:type="dxa"/>
          </w:tblCellMar>
        </w:tblPrEx>
        <w:tc>
          <w:tcPr>
            <w:tcW w:w="2494" w:type="dxa"/>
            <w:shd w:val="clear" w:color="auto" w:fill="E8F4FD"/>
          </w:tcPr>
          <w:p w14:paraId="1F5FFEC0">
            <w:pPr>
              <w:spacing w:before="20" w:after="20" w:line="240" w:lineRule="auto"/>
            </w:pPr>
            <w:r>
              <w:rPr>
                <w:b/>
                <w:color w:val="002B49"/>
                <w:sz w:val="19"/>
              </w:rPr>
              <w:t>Phone</w:t>
            </w:r>
          </w:p>
        </w:tc>
        <w:tc>
          <w:tcPr>
            <w:tcW w:w="7143" w:type="dxa"/>
          </w:tcPr>
          <w:p w14:paraId="7E1A6977">
            <w:pPr>
              <w:spacing w:before="20" w:after="20" w:line="240" w:lineRule="auto"/>
            </w:pPr>
            <w:r>
              <w:rPr>
                <w:sz w:val="19"/>
              </w:rPr>
              <w:t>1800 007 400</w:t>
            </w:r>
          </w:p>
        </w:tc>
      </w:tr>
      <w:tr w14:paraId="6FBCD6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30" w:type="dxa"/>
            <w:left w:w="80" w:type="dxa"/>
            <w:bottom w:w="30" w:type="dxa"/>
            <w:right w:w="80" w:type="dxa"/>
          </w:tblCellMar>
        </w:tblPrEx>
        <w:tc>
          <w:tcPr>
            <w:tcW w:w="2494" w:type="dxa"/>
            <w:shd w:val="clear" w:color="auto" w:fill="E8F4FD"/>
          </w:tcPr>
          <w:p w14:paraId="0B7B4327">
            <w:pPr>
              <w:spacing w:before="20" w:after="20" w:line="240" w:lineRule="auto"/>
            </w:pPr>
            <w:r>
              <w:rPr>
                <w:b/>
                <w:color w:val="002B49"/>
                <w:sz w:val="19"/>
              </w:rPr>
              <w:t>Email</w:t>
            </w:r>
          </w:p>
        </w:tc>
        <w:tc>
          <w:tcPr>
            <w:tcW w:w="7143" w:type="dxa"/>
          </w:tcPr>
          <w:p w14:paraId="3D6F812D">
            <w:pPr>
              <w:spacing w:before="20" w:after="20" w:line="240" w:lineRule="auto"/>
            </w:pPr>
            <w:r>
              <w:rPr>
                <w:sz w:val="19"/>
              </w:rPr>
              <w:t>etc.info@etcltd.com.au</w:t>
            </w:r>
          </w:p>
        </w:tc>
      </w:tr>
      <w:tr w14:paraId="025B89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30" w:type="dxa"/>
            <w:left w:w="80" w:type="dxa"/>
            <w:bottom w:w="30" w:type="dxa"/>
            <w:right w:w="80" w:type="dxa"/>
          </w:tblCellMar>
        </w:tblPrEx>
        <w:tc>
          <w:tcPr>
            <w:tcW w:w="2494" w:type="dxa"/>
            <w:shd w:val="clear" w:color="auto" w:fill="E8F4FD"/>
          </w:tcPr>
          <w:p w14:paraId="2674AB8E">
            <w:pPr>
              <w:spacing w:before="20" w:after="20" w:line="240" w:lineRule="auto"/>
            </w:pPr>
            <w:r>
              <w:rPr>
                <w:b/>
                <w:color w:val="002B49"/>
                <w:sz w:val="19"/>
              </w:rPr>
              <w:t>Website</w:t>
            </w:r>
          </w:p>
        </w:tc>
        <w:tc>
          <w:tcPr>
            <w:tcW w:w="7143" w:type="dxa"/>
          </w:tcPr>
          <w:p w14:paraId="0F46450F">
            <w:pPr>
              <w:spacing w:before="20" w:after="20" w:line="240" w:lineRule="auto"/>
            </w:pPr>
            <w:r>
              <w:fldChar w:fldCharType="begin"/>
            </w:r>
            <w:r>
              <w:instrText xml:space="preserve"> HYPERLINK "https://etcltd.com.au/see/" \h </w:instrText>
            </w:r>
            <w:r>
              <w:fldChar w:fldCharType="separate"/>
            </w:r>
            <w:r>
              <w:rPr>
                <w:rFonts w:ascii="Calibri" w:hAnsi="Calibri"/>
                <w:color w:val="0066CC"/>
                <w:sz w:val="19"/>
                <w:u w:val="single"/>
              </w:rPr>
              <w:t>https://etcltd.com.au/see/</w:t>
            </w:r>
            <w:r>
              <w:rPr>
                <w:rFonts w:ascii="Calibri" w:hAnsi="Calibri"/>
                <w:color w:val="0066CC"/>
                <w:sz w:val="19"/>
                <w:u w:val="single"/>
              </w:rPr>
              <w:fldChar w:fldCharType="end"/>
            </w:r>
          </w:p>
        </w:tc>
      </w:tr>
      <w:tr w14:paraId="62D8A2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30" w:type="dxa"/>
            <w:left w:w="80" w:type="dxa"/>
            <w:bottom w:w="30" w:type="dxa"/>
            <w:right w:w="80" w:type="dxa"/>
          </w:tblCellMar>
        </w:tblPrEx>
        <w:tc>
          <w:tcPr>
            <w:tcW w:w="2494" w:type="dxa"/>
            <w:shd w:val="clear" w:color="auto" w:fill="E8F4FD"/>
          </w:tcPr>
          <w:p w14:paraId="2932CED6">
            <w:pPr>
              <w:spacing w:before="20" w:after="20" w:line="240" w:lineRule="auto"/>
            </w:pPr>
            <w:r>
              <w:rPr>
                <w:b/>
                <w:color w:val="002B49"/>
                <w:sz w:val="19"/>
              </w:rPr>
              <w:t>Referral / Intake</w:t>
            </w:r>
          </w:p>
        </w:tc>
        <w:tc>
          <w:tcPr>
            <w:tcW w:w="7143" w:type="dxa"/>
          </w:tcPr>
          <w:p w14:paraId="6C438D48">
            <w:pPr>
              <w:spacing w:before="20" w:after="20" w:line="240" w:lineRule="auto"/>
            </w:pPr>
            <w:r>
              <w:rPr>
                <w:sz w:val="19"/>
              </w:rPr>
              <w:t>Online application form, toll-free phone inquiry, or referral by an employment services provider</w:t>
            </w:r>
          </w:p>
        </w:tc>
      </w:tr>
      <w:tr w14:paraId="5491A6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30" w:type="dxa"/>
            <w:left w:w="80" w:type="dxa"/>
            <w:bottom w:w="30" w:type="dxa"/>
            <w:right w:w="80" w:type="dxa"/>
          </w:tblCellMar>
        </w:tblPrEx>
        <w:tc>
          <w:tcPr>
            <w:tcW w:w="2494" w:type="dxa"/>
            <w:shd w:val="clear" w:color="auto" w:fill="E8F4FD"/>
          </w:tcPr>
          <w:p w14:paraId="77A77405">
            <w:pPr>
              <w:spacing w:before="20" w:after="20" w:line="240" w:lineRule="auto"/>
            </w:pPr>
            <w:r>
              <w:rPr>
                <w:b/>
                <w:color w:val="002B49"/>
                <w:sz w:val="19"/>
              </w:rPr>
              <w:t>Verification Status</w:t>
            </w:r>
          </w:p>
        </w:tc>
        <w:tc>
          <w:tcPr>
            <w:tcW w:w="7143" w:type="dxa"/>
          </w:tcPr>
          <w:p w14:paraId="0260F805">
            <w:pPr>
              <w:spacing w:before="20" w:after="20" w:line="240" w:lineRule="auto"/>
            </w:pPr>
            <w:r>
              <w:rPr>
                <w:sz w:val="19"/>
              </w:rPr>
              <w:t>REQUIRES VERIFICATION — environmental scan record from official provider pages.</w:t>
            </w:r>
          </w:p>
        </w:tc>
      </w:tr>
    </w:tbl>
    <w:p w14:paraId="297F8DD5">
      <w:r>
        <w:br w:type="page"/>
      </w:r>
    </w:p>
    <w:p w14:paraId="2C502715">
      <w:pPr>
        <w:pStyle w:val="2"/>
      </w:pPr>
      <w:r>
        <w:rPr>
          <w:color w:val="002B49"/>
        </w:rPr>
        <w:t>10. Jobs and Skills Centres and Queensland Government Programs</w:t>
      </w:r>
    </w:p>
    <w:p w14:paraId="54FEC5E8">
      <w:pPr>
        <w:shd w:val="clear" w:color="auto" w:fill="F2F2F2"/>
        <w:spacing w:before="0" w:after="160"/>
      </w:pPr>
      <w:r>
        <w:rPr>
          <w:b w:val="0"/>
          <w:i/>
          <w:color w:val="595959"/>
          <w:sz w:val="19"/>
        </w:rPr>
        <w:t>[Note] The template's Jobs and Skills Centre section has been adapted to the Queensland context: Queensland's equivalent information and referral points include Jobs and Skills Queensland (JSQ), TAFE Queensland's Skills Assure network and the Queensland Government's funded employment programs listed below.</w:t>
      </w:r>
    </w:p>
    <w:p w14:paraId="19470F3A">
      <w:pPr>
        <w:pStyle w:val="3"/>
      </w:pPr>
      <w:r>
        <w:rPr>
          <w:color w:val="0066CC"/>
        </w:rPr>
        <w:t>10.1 Jobs and Skills Queensland and the Skills Assure Network</w:t>
      </w:r>
    </w:p>
    <w:p w14:paraId="5CCB8C35">
      <w:pPr>
        <w:spacing w:before="0" w:after="120"/>
      </w:pPr>
      <w:r>
        <w:rPr>
          <w:b w:val="0"/>
          <w:i w:val="0"/>
          <w:sz w:val="21"/>
        </w:rPr>
        <w:t>Jobs and Skills Queensland (JSQ) is Queensland's statutory body supporting skills development and workforce planning. In Queensland, subsidised training is delivered through the Skills Assure network of registered training organisations (RTOs), including TAFE Queensland.</w:t>
      </w:r>
    </w:p>
    <w:p w14:paraId="469E6E29">
      <w:pPr>
        <w:pStyle w:val="4"/>
      </w:pPr>
      <w:r>
        <w:rPr>
          <w:color w:val="002B49"/>
        </w:rPr>
        <w:t>TAFE Queensland — Skills Assure / VET</w:t>
      </w:r>
    </w:p>
    <w:tbl>
      <w:tblPr>
        <w:tblStyle w:val="3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30" w:type="dxa"/>
          <w:left w:w="80" w:type="dxa"/>
          <w:bottom w:w="30" w:type="dxa"/>
          <w:right w:w="80" w:type="dxa"/>
        </w:tblCellMar>
      </w:tblPr>
      <w:tblGrid>
        <w:gridCol w:w="4819"/>
        <w:gridCol w:w="4819"/>
      </w:tblGrid>
      <w:tr w14:paraId="004877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30" w:type="dxa"/>
            <w:left w:w="80" w:type="dxa"/>
            <w:bottom w:w="30" w:type="dxa"/>
            <w:right w:w="80" w:type="dxa"/>
          </w:tblCellMar>
        </w:tblPrEx>
        <w:tc>
          <w:tcPr>
            <w:tcW w:w="2494" w:type="dxa"/>
            <w:shd w:val="clear" w:color="auto" w:fill="E8F4FD"/>
          </w:tcPr>
          <w:p w14:paraId="102281DC">
            <w:pPr>
              <w:spacing w:before="20" w:after="20" w:line="240" w:lineRule="auto"/>
            </w:pPr>
            <w:r>
              <w:rPr>
                <w:b/>
                <w:color w:val="002B49"/>
                <w:sz w:val="19"/>
              </w:rPr>
              <w:t>Organisation</w:t>
            </w:r>
          </w:p>
        </w:tc>
        <w:tc>
          <w:tcPr>
            <w:tcW w:w="7143" w:type="dxa"/>
          </w:tcPr>
          <w:p w14:paraId="4BB38603">
            <w:pPr>
              <w:spacing w:before="20" w:after="20" w:line="240" w:lineRule="auto"/>
            </w:pPr>
            <w:r>
              <w:rPr>
                <w:sz w:val="19"/>
              </w:rPr>
              <w:t>TAFE Queensland (Queensland Government)</w:t>
            </w:r>
          </w:p>
        </w:tc>
      </w:tr>
      <w:tr w14:paraId="2153F0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30" w:type="dxa"/>
            <w:left w:w="80" w:type="dxa"/>
            <w:bottom w:w="30" w:type="dxa"/>
            <w:right w:w="80" w:type="dxa"/>
          </w:tblCellMar>
        </w:tblPrEx>
        <w:tc>
          <w:tcPr>
            <w:tcW w:w="2494" w:type="dxa"/>
            <w:shd w:val="clear" w:color="auto" w:fill="E8F4FD"/>
          </w:tcPr>
          <w:p w14:paraId="661A84EC">
            <w:pPr>
              <w:spacing w:before="20" w:after="20" w:line="240" w:lineRule="auto"/>
            </w:pPr>
            <w:r>
              <w:rPr>
                <w:b/>
                <w:color w:val="002B49"/>
                <w:sz w:val="19"/>
              </w:rPr>
              <w:t>Service Category</w:t>
            </w:r>
          </w:p>
        </w:tc>
        <w:tc>
          <w:tcPr>
            <w:tcW w:w="7143" w:type="dxa"/>
          </w:tcPr>
          <w:p w14:paraId="75B5A5B8">
            <w:pPr>
              <w:spacing w:before="20" w:after="20" w:line="240" w:lineRule="auto"/>
            </w:pPr>
            <w:r>
              <w:rPr>
                <w:sz w:val="19"/>
              </w:rPr>
              <w:t>Vocational education and training (VET); Skills Assure supplier</w:t>
            </w:r>
          </w:p>
        </w:tc>
      </w:tr>
      <w:tr w14:paraId="29E59D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30" w:type="dxa"/>
            <w:left w:w="80" w:type="dxa"/>
            <w:bottom w:w="30" w:type="dxa"/>
            <w:right w:w="80" w:type="dxa"/>
          </w:tblCellMar>
        </w:tblPrEx>
        <w:tc>
          <w:tcPr>
            <w:tcW w:w="2494" w:type="dxa"/>
            <w:shd w:val="clear" w:color="auto" w:fill="E8F4FD"/>
          </w:tcPr>
          <w:p w14:paraId="6973A321">
            <w:pPr>
              <w:spacing w:before="20" w:after="20" w:line="240" w:lineRule="auto"/>
            </w:pPr>
            <w:r>
              <w:rPr>
                <w:b/>
                <w:color w:val="002B49"/>
                <w:sz w:val="19"/>
              </w:rPr>
              <w:t>Program / Service</w:t>
            </w:r>
          </w:p>
        </w:tc>
        <w:tc>
          <w:tcPr>
            <w:tcW w:w="7143" w:type="dxa"/>
          </w:tcPr>
          <w:p w14:paraId="36CF19CA">
            <w:pPr>
              <w:spacing w:before="20" w:after="20" w:line="240" w:lineRule="auto"/>
            </w:pPr>
            <w:r>
              <w:rPr>
                <w:sz w:val="19"/>
              </w:rPr>
              <w:t>Subsidised training and employment pathways; apprenticeship and traineeship support</w:t>
            </w:r>
          </w:p>
        </w:tc>
      </w:tr>
      <w:tr w14:paraId="00DF90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30" w:type="dxa"/>
            <w:left w:w="80" w:type="dxa"/>
            <w:bottom w:w="30" w:type="dxa"/>
            <w:right w:w="80" w:type="dxa"/>
          </w:tblCellMar>
        </w:tblPrEx>
        <w:tc>
          <w:tcPr>
            <w:tcW w:w="2494" w:type="dxa"/>
            <w:shd w:val="clear" w:color="auto" w:fill="E8F4FD"/>
          </w:tcPr>
          <w:p w14:paraId="089C045D">
            <w:pPr>
              <w:spacing w:before="20" w:after="20" w:line="240" w:lineRule="auto"/>
            </w:pPr>
            <w:r>
              <w:rPr>
                <w:b/>
                <w:color w:val="002B49"/>
                <w:sz w:val="19"/>
              </w:rPr>
              <w:t>Service Description</w:t>
            </w:r>
          </w:p>
        </w:tc>
        <w:tc>
          <w:tcPr>
            <w:tcW w:w="7143" w:type="dxa"/>
          </w:tcPr>
          <w:p w14:paraId="24B62531">
            <w:pPr>
              <w:spacing w:before="20" w:after="20" w:line="240" w:lineRule="auto"/>
            </w:pPr>
            <w:r>
              <w:rPr>
                <w:sz w:val="19"/>
              </w:rPr>
              <w:t>Public vocational education offering subsidised training across Brisbane South East campuses.</w:t>
            </w:r>
          </w:p>
        </w:tc>
      </w:tr>
      <w:tr w14:paraId="6420FF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30" w:type="dxa"/>
            <w:left w:w="80" w:type="dxa"/>
            <w:bottom w:w="30" w:type="dxa"/>
            <w:right w:w="80" w:type="dxa"/>
          </w:tblCellMar>
        </w:tblPrEx>
        <w:tc>
          <w:tcPr>
            <w:tcW w:w="2494" w:type="dxa"/>
            <w:shd w:val="clear" w:color="auto" w:fill="E8F4FD"/>
          </w:tcPr>
          <w:p w14:paraId="3A331BAB">
            <w:pPr>
              <w:spacing w:before="20" w:after="20" w:line="240" w:lineRule="auto"/>
            </w:pPr>
            <w:r>
              <w:rPr>
                <w:b/>
                <w:color w:val="002B49"/>
                <w:sz w:val="19"/>
              </w:rPr>
              <w:t>Who They Support</w:t>
            </w:r>
          </w:p>
        </w:tc>
        <w:tc>
          <w:tcPr>
            <w:tcW w:w="7143" w:type="dxa"/>
          </w:tcPr>
          <w:p w14:paraId="5DA1F2FD">
            <w:pPr>
              <w:spacing w:before="20" w:after="20" w:line="240" w:lineRule="auto"/>
            </w:pPr>
            <w:r>
              <w:rPr>
                <w:sz w:val="19"/>
              </w:rPr>
              <w:t>Job seekers, students and career changers</w:t>
            </w:r>
          </w:p>
        </w:tc>
      </w:tr>
      <w:tr w14:paraId="41BA42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30" w:type="dxa"/>
            <w:left w:w="80" w:type="dxa"/>
            <w:bottom w:w="30" w:type="dxa"/>
            <w:right w:w="80" w:type="dxa"/>
          </w:tblCellMar>
        </w:tblPrEx>
        <w:tc>
          <w:tcPr>
            <w:tcW w:w="2494" w:type="dxa"/>
            <w:shd w:val="clear" w:color="auto" w:fill="E8F4FD"/>
          </w:tcPr>
          <w:p w14:paraId="3A7DB469">
            <w:pPr>
              <w:spacing w:before="20" w:after="20" w:line="240" w:lineRule="auto"/>
            </w:pPr>
            <w:r>
              <w:rPr>
                <w:b/>
                <w:color w:val="002B49"/>
                <w:sz w:val="19"/>
              </w:rPr>
              <w:t>Eligibility</w:t>
            </w:r>
          </w:p>
        </w:tc>
        <w:tc>
          <w:tcPr>
            <w:tcW w:w="7143" w:type="dxa"/>
          </w:tcPr>
          <w:p w14:paraId="2204B263">
            <w:pPr>
              <w:spacing w:before="20" w:after="20" w:line="240" w:lineRule="auto"/>
            </w:pPr>
            <w:r>
              <w:rPr>
                <w:sz w:val="19"/>
              </w:rPr>
              <w:t>Eligible Queensland residents meeting subsidy criteria</w:t>
            </w:r>
          </w:p>
        </w:tc>
      </w:tr>
      <w:tr w14:paraId="690206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30" w:type="dxa"/>
            <w:left w:w="80" w:type="dxa"/>
            <w:bottom w:w="30" w:type="dxa"/>
            <w:right w:w="80" w:type="dxa"/>
          </w:tblCellMar>
        </w:tblPrEx>
        <w:tc>
          <w:tcPr>
            <w:tcW w:w="2494" w:type="dxa"/>
            <w:shd w:val="clear" w:color="auto" w:fill="E8F4FD"/>
          </w:tcPr>
          <w:p w14:paraId="309A0EBB">
            <w:pPr>
              <w:spacing w:before="20" w:after="20" w:line="240" w:lineRule="auto"/>
            </w:pPr>
            <w:r>
              <w:rPr>
                <w:b/>
                <w:color w:val="002B49"/>
                <w:sz w:val="19"/>
              </w:rPr>
              <w:t>Location / Coverage</w:t>
            </w:r>
          </w:p>
        </w:tc>
        <w:tc>
          <w:tcPr>
            <w:tcW w:w="7143" w:type="dxa"/>
          </w:tcPr>
          <w:p w14:paraId="4FC67605">
            <w:pPr>
              <w:spacing w:before="20" w:after="20" w:line="240" w:lineRule="auto"/>
            </w:pPr>
            <w:r>
              <w:rPr>
                <w:sz w:val="19"/>
              </w:rPr>
              <w:t>Brisbane South campuses including Woolloongabba, Dutton Park and South Bank (scan-recorded)</w:t>
            </w:r>
          </w:p>
        </w:tc>
      </w:tr>
      <w:tr w14:paraId="0A43F1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30" w:type="dxa"/>
            <w:left w:w="80" w:type="dxa"/>
            <w:bottom w:w="30" w:type="dxa"/>
            <w:right w:w="80" w:type="dxa"/>
          </w:tblCellMar>
        </w:tblPrEx>
        <w:tc>
          <w:tcPr>
            <w:tcW w:w="2494" w:type="dxa"/>
            <w:shd w:val="clear" w:color="auto" w:fill="E8F4FD"/>
          </w:tcPr>
          <w:p w14:paraId="21AC6A76">
            <w:pPr>
              <w:spacing w:before="20" w:after="20" w:line="240" w:lineRule="auto"/>
            </w:pPr>
            <w:r>
              <w:rPr>
                <w:b/>
                <w:color w:val="002B49"/>
                <w:sz w:val="19"/>
              </w:rPr>
              <w:t>Phone</w:t>
            </w:r>
          </w:p>
        </w:tc>
        <w:tc>
          <w:tcPr>
            <w:tcW w:w="7143" w:type="dxa"/>
          </w:tcPr>
          <w:p w14:paraId="2E2E642B">
            <w:pPr>
              <w:spacing w:before="20" w:after="20" w:line="240" w:lineRule="auto"/>
            </w:pPr>
            <w:r>
              <w:rPr>
                <w:sz w:val="19"/>
              </w:rPr>
              <w:t>1300 308 233 / +61 7 3244 5100</w:t>
            </w:r>
          </w:p>
        </w:tc>
      </w:tr>
      <w:tr w14:paraId="66DD1E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30" w:type="dxa"/>
            <w:left w:w="80" w:type="dxa"/>
            <w:bottom w:w="30" w:type="dxa"/>
            <w:right w:w="80" w:type="dxa"/>
          </w:tblCellMar>
        </w:tblPrEx>
        <w:tc>
          <w:tcPr>
            <w:tcW w:w="2494" w:type="dxa"/>
            <w:shd w:val="clear" w:color="auto" w:fill="E8F4FD"/>
          </w:tcPr>
          <w:p w14:paraId="29E12D2F">
            <w:pPr>
              <w:spacing w:before="20" w:after="20" w:line="240" w:lineRule="auto"/>
            </w:pPr>
            <w:r>
              <w:rPr>
                <w:b/>
                <w:color w:val="002B49"/>
                <w:sz w:val="19"/>
              </w:rPr>
              <w:t>Email</w:t>
            </w:r>
          </w:p>
        </w:tc>
        <w:tc>
          <w:tcPr>
            <w:tcW w:w="7143" w:type="dxa"/>
          </w:tcPr>
          <w:p w14:paraId="6C9A976E">
            <w:pPr>
              <w:spacing w:before="20" w:after="20" w:line="240" w:lineRule="auto"/>
            </w:pPr>
            <w:r>
              <w:rPr>
                <w:sz w:val="19"/>
              </w:rPr>
              <w:t>tqiassist@tafeqld.edu.au</w:t>
            </w:r>
          </w:p>
        </w:tc>
      </w:tr>
      <w:tr w14:paraId="5B9784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30" w:type="dxa"/>
            <w:left w:w="80" w:type="dxa"/>
            <w:bottom w:w="30" w:type="dxa"/>
            <w:right w:w="80" w:type="dxa"/>
          </w:tblCellMar>
        </w:tblPrEx>
        <w:tc>
          <w:tcPr>
            <w:tcW w:w="2494" w:type="dxa"/>
            <w:shd w:val="clear" w:color="auto" w:fill="E8F4FD"/>
          </w:tcPr>
          <w:p w14:paraId="6B0DEF1C">
            <w:pPr>
              <w:spacing w:before="20" w:after="20" w:line="240" w:lineRule="auto"/>
            </w:pPr>
            <w:r>
              <w:rPr>
                <w:b/>
                <w:color w:val="002B49"/>
                <w:sz w:val="19"/>
              </w:rPr>
              <w:t>Website</w:t>
            </w:r>
          </w:p>
        </w:tc>
        <w:tc>
          <w:tcPr>
            <w:tcW w:w="7143" w:type="dxa"/>
          </w:tcPr>
          <w:p w14:paraId="1FC83E57">
            <w:pPr>
              <w:spacing w:before="20" w:after="20" w:line="240" w:lineRule="auto"/>
            </w:pPr>
            <w:r>
              <w:fldChar w:fldCharType="begin"/>
            </w:r>
            <w:r>
              <w:instrText xml:space="preserve"> HYPERLINK "https://tafeqld.edu.au" \h </w:instrText>
            </w:r>
            <w:r>
              <w:fldChar w:fldCharType="separate"/>
            </w:r>
            <w:r>
              <w:rPr>
                <w:rFonts w:ascii="Calibri" w:hAnsi="Calibri"/>
                <w:color w:val="0066CC"/>
                <w:sz w:val="19"/>
                <w:u w:val="single"/>
              </w:rPr>
              <w:t>https://tafeqld.edu.au</w:t>
            </w:r>
            <w:r>
              <w:rPr>
                <w:rFonts w:ascii="Calibri" w:hAnsi="Calibri"/>
                <w:color w:val="0066CC"/>
                <w:sz w:val="19"/>
                <w:u w:val="single"/>
              </w:rPr>
              <w:fldChar w:fldCharType="end"/>
            </w:r>
          </w:p>
        </w:tc>
      </w:tr>
      <w:tr w14:paraId="5C4E9B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30" w:type="dxa"/>
            <w:left w:w="80" w:type="dxa"/>
            <w:bottom w:w="30" w:type="dxa"/>
            <w:right w:w="80" w:type="dxa"/>
          </w:tblCellMar>
        </w:tblPrEx>
        <w:tc>
          <w:tcPr>
            <w:tcW w:w="2494" w:type="dxa"/>
            <w:shd w:val="clear" w:color="auto" w:fill="E8F4FD"/>
          </w:tcPr>
          <w:p w14:paraId="439CF8DF">
            <w:pPr>
              <w:spacing w:before="20" w:after="20" w:line="240" w:lineRule="auto"/>
            </w:pPr>
            <w:r>
              <w:rPr>
                <w:b/>
                <w:color w:val="002B49"/>
                <w:sz w:val="19"/>
              </w:rPr>
              <w:t>Referral / Intake</w:t>
            </w:r>
          </w:p>
        </w:tc>
        <w:tc>
          <w:tcPr>
            <w:tcW w:w="7143" w:type="dxa"/>
          </w:tcPr>
          <w:p w14:paraId="4101EF68">
            <w:pPr>
              <w:spacing w:before="20" w:after="20" w:line="240" w:lineRule="auto"/>
            </w:pPr>
            <w:r>
              <w:rPr>
                <w:sz w:val="19"/>
              </w:rPr>
              <w:t>Direct application</w:t>
            </w:r>
          </w:p>
        </w:tc>
      </w:tr>
      <w:tr w14:paraId="664DA1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30" w:type="dxa"/>
            <w:left w:w="80" w:type="dxa"/>
            <w:bottom w:w="30" w:type="dxa"/>
            <w:right w:w="80" w:type="dxa"/>
          </w:tblCellMar>
        </w:tblPrEx>
        <w:tc>
          <w:tcPr>
            <w:tcW w:w="2494" w:type="dxa"/>
            <w:shd w:val="clear" w:color="auto" w:fill="E8F4FD"/>
          </w:tcPr>
          <w:p w14:paraId="3AE8AB52">
            <w:pPr>
              <w:spacing w:before="20" w:after="20" w:line="240" w:lineRule="auto"/>
            </w:pPr>
            <w:r>
              <w:rPr>
                <w:b/>
                <w:color w:val="002B49"/>
                <w:sz w:val="19"/>
              </w:rPr>
              <w:t>Verification Status</w:t>
            </w:r>
          </w:p>
        </w:tc>
        <w:tc>
          <w:tcPr>
            <w:tcW w:w="7143" w:type="dxa"/>
          </w:tcPr>
          <w:p w14:paraId="3E7A2AB5">
            <w:pPr>
              <w:spacing w:before="20" w:after="20" w:line="240" w:lineRule="auto"/>
            </w:pPr>
            <w:r>
              <w:rPr>
                <w:sz w:val="19"/>
              </w:rPr>
              <w:t>REQUIRES VERIFICATION — environmental scan record; general TAFE Queensland details well established.</w:t>
            </w:r>
          </w:p>
        </w:tc>
      </w:tr>
    </w:tbl>
    <w:p w14:paraId="68E006EE">
      <w:pPr>
        <w:pStyle w:val="4"/>
      </w:pPr>
      <w:r>
        <w:rPr>
          <w:color w:val="002B49"/>
        </w:rPr>
        <w:t>Skills Assure Supplier RTO — General Subsidised Training</w:t>
      </w:r>
    </w:p>
    <w:tbl>
      <w:tblPr>
        <w:tblStyle w:val="3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30" w:type="dxa"/>
          <w:left w:w="80" w:type="dxa"/>
          <w:bottom w:w="30" w:type="dxa"/>
          <w:right w:w="80" w:type="dxa"/>
        </w:tblCellMar>
      </w:tblPr>
      <w:tblGrid>
        <w:gridCol w:w="4819"/>
        <w:gridCol w:w="4819"/>
      </w:tblGrid>
      <w:tr w14:paraId="1C3464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30" w:type="dxa"/>
            <w:left w:w="80" w:type="dxa"/>
            <w:bottom w:w="30" w:type="dxa"/>
            <w:right w:w="80" w:type="dxa"/>
          </w:tblCellMar>
        </w:tblPrEx>
        <w:tc>
          <w:tcPr>
            <w:tcW w:w="2494" w:type="dxa"/>
            <w:shd w:val="clear" w:color="auto" w:fill="E8F4FD"/>
          </w:tcPr>
          <w:p w14:paraId="5BC25DA8">
            <w:pPr>
              <w:spacing w:before="20" w:after="20" w:line="240" w:lineRule="auto"/>
            </w:pPr>
            <w:r>
              <w:rPr>
                <w:b/>
                <w:color w:val="002B49"/>
                <w:sz w:val="19"/>
              </w:rPr>
              <w:t>Organisation</w:t>
            </w:r>
          </w:p>
        </w:tc>
        <w:tc>
          <w:tcPr>
            <w:tcW w:w="7143" w:type="dxa"/>
          </w:tcPr>
          <w:p w14:paraId="507C9321">
            <w:pPr>
              <w:spacing w:before="20" w:after="20" w:line="240" w:lineRule="auto"/>
            </w:pPr>
            <w:r>
              <w:rPr>
                <w:sz w:val="19"/>
              </w:rPr>
              <w:t>Skills Assure Supplier RTO (Department of Employment, Small Business and Training accredited network)</w:t>
            </w:r>
          </w:p>
        </w:tc>
      </w:tr>
      <w:tr w14:paraId="30CB33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30" w:type="dxa"/>
            <w:left w:w="80" w:type="dxa"/>
            <w:bottom w:w="30" w:type="dxa"/>
            <w:right w:w="80" w:type="dxa"/>
          </w:tblCellMar>
        </w:tblPrEx>
        <w:tc>
          <w:tcPr>
            <w:tcW w:w="2494" w:type="dxa"/>
            <w:shd w:val="clear" w:color="auto" w:fill="E8F4FD"/>
          </w:tcPr>
          <w:p w14:paraId="60F5979C">
            <w:pPr>
              <w:spacing w:before="20" w:after="20" w:line="240" w:lineRule="auto"/>
            </w:pPr>
            <w:r>
              <w:rPr>
                <w:b/>
                <w:color w:val="002B49"/>
                <w:sz w:val="19"/>
              </w:rPr>
              <w:t>Service Category</w:t>
            </w:r>
          </w:p>
        </w:tc>
        <w:tc>
          <w:tcPr>
            <w:tcW w:w="7143" w:type="dxa"/>
          </w:tcPr>
          <w:p w14:paraId="1944ACAF">
            <w:pPr>
              <w:spacing w:before="20" w:after="20" w:line="240" w:lineRule="auto"/>
            </w:pPr>
            <w:r>
              <w:rPr>
                <w:sz w:val="19"/>
              </w:rPr>
              <w:t>General subsidised training</w:t>
            </w:r>
          </w:p>
        </w:tc>
      </w:tr>
      <w:tr w14:paraId="030431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30" w:type="dxa"/>
            <w:left w:w="80" w:type="dxa"/>
            <w:bottom w:w="30" w:type="dxa"/>
            <w:right w:w="80" w:type="dxa"/>
          </w:tblCellMar>
        </w:tblPrEx>
        <w:tc>
          <w:tcPr>
            <w:tcW w:w="2494" w:type="dxa"/>
            <w:shd w:val="clear" w:color="auto" w:fill="E8F4FD"/>
          </w:tcPr>
          <w:p w14:paraId="31E62FDF">
            <w:pPr>
              <w:spacing w:before="20" w:after="20" w:line="240" w:lineRule="auto"/>
            </w:pPr>
            <w:r>
              <w:rPr>
                <w:b/>
                <w:color w:val="002B49"/>
                <w:sz w:val="19"/>
              </w:rPr>
              <w:t>Program / Service</w:t>
            </w:r>
          </w:p>
        </w:tc>
        <w:tc>
          <w:tcPr>
            <w:tcW w:w="7143" w:type="dxa"/>
          </w:tcPr>
          <w:p w14:paraId="63F4F8DC">
            <w:pPr>
              <w:spacing w:before="20" w:after="20" w:line="240" w:lineRule="auto"/>
            </w:pPr>
            <w:r>
              <w:rPr>
                <w:sz w:val="19"/>
              </w:rPr>
              <w:t>Employment and training — funded qualification delivery</w:t>
            </w:r>
          </w:p>
        </w:tc>
      </w:tr>
      <w:tr w14:paraId="1FD7BB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30" w:type="dxa"/>
            <w:left w:w="80" w:type="dxa"/>
            <w:bottom w:w="30" w:type="dxa"/>
            <w:right w:w="80" w:type="dxa"/>
          </w:tblCellMar>
        </w:tblPrEx>
        <w:tc>
          <w:tcPr>
            <w:tcW w:w="2494" w:type="dxa"/>
            <w:shd w:val="clear" w:color="auto" w:fill="E8F4FD"/>
          </w:tcPr>
          <w:p w14:paraId="18BB2B20">
            <w:pPr>
              <w:spacing w:before="20" w:after="20" w:line="240" w:lineRule="auto"/>
            </w:pPr>
            <w:r>
              <w:rPr>
                <w:b/>
                <w:color w:val="002B49"/>
                <w:sz w:val="19"/>
              </w:rPr>
              <w:t>Service Description</w:t>
            </w:r>
          </w:p>
        </w:tc>
        <w:tc>
          <w:tcPr>
            <w:tcW w:w="7143" w:type="dxa"/>
          </w:tcPr>
          <w:p w14:paraId="1A27FF2D">
            <w:pPr>
              <w:spacing w:before="20" w:after="20" w:line="240" w:lineRule="auto"/>
            </w:pPr>
            <w:r>
              <w:rPr>
                <w:sz w:val="19"/>
              </w:rPr>
              <w:t>Funded qualification delivery through approved Queensland Skills Assure suppliers, including apprenticeship and traineeship administration.</w:t>
            </w:r>
          </w:p>
        </w:tc>
      </w:tr>
      <w:tr w14:paraId="40B609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30" w:type="dxa"/>
            <w:left w:w="80" w:type="dxa"/>
            <w:bottom w:w="30" w:type="dxa"/>
            <w:right w:w="80" w:type="dxa"/>
          </w:tblCellMar>
        </w:tblPrEx>
        <w:tc>
          <w:tcPr>
            <w:tcW w:w="2494" w:type="dxa"/>
            <w:shd w:val="clear" w:color="auto" w:fill="E8F4FD"/>
          </w:tcPr>
          <w:p w14:paraId="12FC216D">
            <w:pPr>
              <w:spacing w:before="20" w:after="20" w:line="240" w:lineRule="auto"/>
            </w:pPr>
            <w:r>
              <w:rPr>
                <w:b/>
                <w:color w:val="002B49"/>
                <w:sz w:val="19"/>
              </w:rPr>
              <w:t>Who They Support</w:t>
            </w:r>
          </w:p>
        </w:tc>
        <w:tc>
          <w:tcPr>
            <w:tcW w:w="7143" w:type="dxa"/>
          </w:tcPr>
          <w:p w14:paraId="4F373DF8">
            <w:pPr>
              <w:spacing w:before="20" w:after="20" w:line="240" w:lineRule="auto"/>
            </w:pPr>
            <w:r>
              <w:rPr>
                <w:sz w:val="19"/>
              </w:rPr>
              <w:t>Adults seeking qualifications</w:t>
            </w:r>
          </w:p>
        </w:tc>
      </w:tr>
      <w:tr w14:paraId="471177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30" w:type="dxa"/>
            <w:left w:w="80" w:type="dxa"/>
            <w:bottom w:w="30" w:type="dxa"/>
            <w:right w:w="80" w:type="dxa"/>
          </w:tblCellMar>
        </w:tblPrEx>
        <w:tc>
          <w:tcPr>
            <w:tcW w:w="2494" w:type="dxa"/>
            <w:shd w:val="clear" w:color="auto" w:fill="E8F4FD"/>
          </w:tcPr>
          <w:p w14:paraId="48DD2CBE">
            <w:pPr>
              <w:spacing w:before="20" w:after="20" w:line="240" w:lineRule="auto"/>
            </w:pPr>
            <w:r>
              <w:rPr>
                <w:b/>
                <w:color w:val="002B49"/>
                <w:sz w:val="19"/>
              </w:rPr>
              <w:t>Eligibility</w:t>
            </w:r>
          </w:p>
        </w:tc>
        <w:tc>
          <w:tcPr>
            <w:tcW w:w="7143" w:type="dxa"/>
          </w:tcPr>
          <w:p w14:paraId="68B9C614">
            <w:pPr>
              <w:spacing w:before="20" w:after="20" w:line="240" w:lineRule="auto"/>
            </w:pPr>
            <w:r>
              <w:rPr>
                <w:sz w:val="19"/>
              </w:rPr>
              <w:t>Queensland subsidy eligibility applies</w:t>
            </w:r>
          </w:p>
        </w:tc>
      </w:tr>
      <w:tr w14:paraId="5D4112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30" w:type="dxa"/>
            <w:left w:w="80" w:type="dxa"/>
            <w:bottom w:w="30" w:type="dxa"/>
            <w:right w:w="80" w:type="dxa"/>
          </w:tblCellMar>
        </w:tblPrEx>
        <w:tc>
          <w:tcPr>
            <w:tcW w:w="2494" w:type="dxa"/>
            <w:shd w:val="clear" w:color="auto" w:fill="E8F4FD"/>
          </w:tcPr>
          <w:p w14:paraId="7EBED2A5">
            <w:pPr>
              <w:spacing w:before="20" w:after="20" w:line="240" w:lineRule="auto"/>
            </w:pPr>
            <w:r>
              <w:rPr>
                <w:b/>
                <w:color w:val="002B49"/>
                <w:sz w:val="19"/>
              </w:rPr>
              <w:t>Location / Coverage</w:t>
            </w:r>
          </w:p>
        </w:tc>
        <w:tc>
          <w:tcPr>
            <w:tcW w:w="7143" w:type="dxa"/>
          </w:tcPr>
          <w:p w14:paraId="232E1E66">
            <w:pPr>
              <w:spacing w:before="20" w:after="20" w:line="240" w:lineRule="auto"/>
            </w:pPr>
            <w:r>
              <w:rPr>
                <w:sz w:val="19"/>
              </w:rPr>
              <w:t>Upper Mount Gravatt area (Level 2, Block A, Garden Square, 643 Kessels Road, Upper Mount Gravatt QLD 4122); Sunnybank/Sunnybank Hills areas (scan-recorded)</w:t>
            </w:r>
          </w:p>
        </w:tc>
      </w:tr>
      <w:tr w14:paraId="25BA9D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30" w:type="dxa"/>
            <w:left w:w="80" w:type="dxa"/>
            <w:bottom w:w="30" w:type="dxa"/>
            <w:right w:w="80" w:type="dxa"/>
          </w:tblCellMar>
        </w:tblPrEx>
        <w:tc>
          <w:tcPr>
            <w:tcW w:w="2494" w:type="dxa"/>
            <w:shd w:val="clear" w:color="auto" w:fill="E8F4FD"/>
          </w:tcPr>
          <w:p w14:paraId="5BC179ED">
            <w:pPr>
              <w:spacing w:before="20" w:after="20" w:line="240" w:lineRule="auto"/>
            </w:pPr>
            <w:r>
              <w:rPr>
                <w:b/>
                <w:color w:val="002B49"/>
                <w:sz w:val="19"/>
              </w:rPr>
              <w:t>Phone</w:t>
            </w:r>
          </w:p>
        </w:tc>
        <w:tc>
          <w:tcPr>
            <w:tcW w:w="7143" w:type="dxa"/>
          </w:tcPr>
          <w:p w14:paraId="656BD85A">
            <w:pPr>
              <w:spacing w:before="20" w:after="20" w:line="240" w:lineRule="auto"/>
            </w:pPr>
            <w:r>
              <w:rPr>
                <w:sz w:val="19"/>
              </w:rPr>
              <w:t>1800 210 210 (apprenticeships) / 1300 369 935</w:t>
            </w:r>
          </w:p>
        </w:tc>
      </w:tr>
      <w:tr w14:paraId="147700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30" w:type="dxa"/>
            <w:left w:w="80" w:type="dxa"/>
            <w:bottom w:w="30" w:type="dxa"/>
            <w:right w:w="80" w:type="dxa"/>
          </w:tblCellMar>
        </w:tblPrEx>
        <w:tc>
          <w:tcPr>
            <w:tcW w:w="2494" w:type="dxa"/>
            <w:shd w:val="clear" w:color="auto" w:fill="E8F4FD"/>
          </w:tcPr>
          <w:p w14:paraId="68A780DE">
            <w:pPr>
              <w:spacing w:before="20" w:after="20" w:line="240" w:lineRule="auto"/>
            </w:pPr>
            <w:r>
              <w:rPr>
                <w:b/>
                <w:color w:val="002B49"/>
                <w:sz w:val="19"/>
              </w:rPr>
              <w:t>Email</w:t>
            </w:r>
          </w:p>
        </w:tc>
        <w:tc>
          <w:tcPr>
            <w:tcW w:w="7143" w:type="dxa"/>
          </w:tcPr>
          <w:p w14:paraId="2BF8F5DF">
            <w:pPr>
              <w:spacing w:before="20" w:after="20" w:line="240" w:lineRule="auto"/>
            </w:pPr>
            <w:r>
              <w:rPr>
                <w:sz w:val="19"/>
              </w:rPr>
              <w:t>apprenticeshipsinfo@qld.gov.au; training@dtet.qld.gov.au</w:t>
            </w:r>
          </w:p>
        </w:tc>
      </w:tr>
      <w:tr w14:paraId="1C6E5A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30" w:type="dxa"/>
            <w:left w:w="80" w:type="dxa"/>
            <w:bottom w:w="30" w:type="dxa"/>
            <w:right w:w="80" w:type="dxa"/>
          </w:tblCellMar>
        </w:tblPrEx>
        <w:tc>
          <w:tcPr>
            <w:tcW w:w="2494" w:type="dxa"/>
            <w:shd w:val="clear" w:color="auto" w:fill="E8F4FD"/>
          </w:tcPr>
          <w:p w14:paraId="56F9E993">
            <w:pPr>
              <w:spacing w:before="20" w:after="20" w:line="240" w:lineRule="auto"/>
            </w:pPr>
            <w:r>
              <w:rPr>
                <w:b/>
                <w:color w:val="002B49"/>
                <w:sz w:val="19"/>
              </w:rPr>
              <w:t>Website</w:t>
            </w:r>
          </w:p>
        </w:tc>
        <w:tc>
          <w:tcPr>
            <w:tcW w:w="7143" w:type="dxa"/>
          </w:tcPr>
          <w:p w14:paraId="091BBE0D">
            <w:pPr>
              <w:spacing w:before="20" w:after="20" w:line="240" w:lineRule="auto"/>
            </w:pPr>
            <w:r>
              <w:fldChar w:fldCharType="begin"/>
            </w:r>
            <w:r>
              <w:instrText xml:space="preserve"> HYPERLINK "https://dtet.qld.gov.au" \h </w:instrText>
            </w:r>
            <w:r>
              <w:fldChar w:fldCharType="separate"/>
            </w:r>
            <w:r>
              <w:rPr>
                <w:rFonts w:ascii="Calibri" w:hAnsi="Calibri"/>
                <w:color w:val="0066CC"/>
                <w:sz w:val="19"/>
                <w:u w:val="single"/>
              </w:rPr>
              <w:t>https://dtet.qld.gov.au</w:t>
            </w:r>
            <w:r>
              <w:rPr>
                <w:rFonts w:ascii="Calibri" w:hAnsi="Calibri"/>
                <w:color w:val="0066CC"/>
                <w:sz w:val="19"/>
                <w:u w:val="single"/>
              </w:rPr>
              <w:fldChar w:fldCharType="end"/>
            </w:r>
          </w:p>
        </w:tc>
      </w:tr>
      <w:tr w14:paraId="714A0F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30" w:type="dxa"/>
            <w:left w:w="80" w:type="dxa"/>
            <w:bottom w:w="30" w:type="dxa"/>
            <w:right w:w="80" w:type="dxa"/>
          </w:tblCellMar>
        </w:tblPrEx>
        <w:tc>
          <w:tcPr>
            <w:tcW w:w="2494" w:type="dxa"/>
            <w:shd w:val="clear" w:color="auto" w:fill="E8F4FD"/>
          </w:tcPr>
          <w:p w14:paraId="4B508B68">
            <w:pPr>
              <w:spacing w:before="20" w:after="20" w:line="240" w:lineRule="auto"/>
            </w:pPr>
            <w:r>
              <w:rPr>
                <w:b/>
                <w:color w:val="002B49"/>
                <w:sz w:val="19"/>
              </w:rPr>
              <w:t>Referral / Intake</w:t>
            </w:r>
          </w:p>
        </w:tc>
        <w:tc>
          <w:tcPr>
            <w:tcW w:w="7143" w:type="dxa"/>
          </w:tcPr>
          <w:p w14:paraId="62646C09">
            <w:pPr>
              <w:spacing w:before="20" w:after="20" w:line="240" w:lineRule="auto"/>
            </w:pPr>
            <w:r>
              <w:rPr>
                <w:sz w:val="19"/>
              </w:rPr>
              <w:t>Provider referral/self-referral to an approved Skills Assure supplier</w:t>
            </w:r>
          </w:p>
        </w:tc>
      </w:tr>
      <w:tr w14:paraId="27CB56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30" w:type="dxa"/>
            <w:left w:w="80" w:type="dxa"/>
            <w:bottom w:w="30" w:type="dxa"/>
            <w:right w:w="80" w:type="dxa"/>
          </w:tblCellMar>
        </w:tblPrEx>
        <w:tc>
          <w:tcPr>
            <w:tcW w:w="2494" w:type="dxa"/>
            <w:shd w:val="clear" w:color="auto" w:fill="E8F4FD"/>
          </w:tcPr>
          <w:p w14:paraId="47F74A9F">
            <w:pPr>
              <w:spacing w:before="20" w:after="20" w:line="240" w:lineRule="auto"/>
            </w:pPr>
            <w:r>
              <w:rPr>
                <w:b/>
                <w:color w:val="002B49"/>
                <w:sz w:val="19"/>
              </w:rPr>
              <w:t>Verification Status</w:t>
            </w:r>
          </w:p>
        </w:tc>
        <w:tc>
          <w:tcPr>
            <w:tcW w:w="7143" w:type="dxa"/>
          </w:tcPr>
          <w:p w14:paraId="096526C9">
            <w:pPr>
              <w:spacing w:before="20" w:after="20" w:line="240" w:lineRule="auto"/>
            </w:pPr>
            <w:r>
              <w:rPr>
                <w:sz w:val="19"/>
              </w:rPr>
              <w:t>REQUIRES VERIFICATION — requires provider matching to a named RTO before referral.</w:t>
            </w:r>
          </w:p>
        </w:tc>
      </w:tr>
    </w:tbl>
    <w:p w14:paraId="2E85D596">
      <w:pPr>
        <w:pStyle w:val="3"/>
      </w:pPr>
      <w:r>
        <w:rPr>
          <w:color w:val="0066CC"/>
        </w:rPr>
        <w:t>10.2 Skilling Queenslanders for Work (SQW)</w:t>
      </w:r>
    </w:p>
    <w:p w14:paraId="5B00CC7E">
      <w:pPr>
        <w:spacing w:before="0" w:after="120"/>
      </w:pPr>
      <w:r>
        <w:rPr>
          <w:b w:val="0"/>
          <w:i w:val="0"/>
          <w:sz w:val="21"/>
        </w:rPr>
        <w:t>Skilling Queenslanders for Work (SQW) is a Queensland Government initiative that funds skills development, training and work placement opportunities for unemployed and underemployed Queenslanders, including young people, mature-age workers, people from CALD backgrounds, First Nations people and people with disability. SQW programs are generally free (subsidised by the Queensland Government) and self-referral is usually possible.</w:t>
      </w:r>
    </w:p>
    <w:p w14:paraId="3F107B9F">
      <w:pPr>
        <w:spacing w:before="0" w:after="120"/>
      </w:pPr>
      <w:r>
        <w:rPr>
          <w:b w:val="0"/>
          <w:i w:val="0"/>
          <w:sz w:val="21"/>
        </w:rPr>
        <w:t>The following SQW providers were identified in the Brisbane South East environmental scan:</w:t>
      </w:r>
    </w:p>
    <w:tbl>
      <w:tblPr>
        <w:tblStyle w:val="35"/>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0" w:type="dxa"/>
          <w:left w:w="80" w:type="dxa"/>
          <w:bottom w:w="40" w:type="dxa"/>
          <w:right w:w="80" w:type="dxa"/>
        </w:tblCellMar>
      </w:tblPr>
      <w:tblGrid>
        <w:gridCol w:w="1928"/>
        <w:gridCol w:w="1928"/>
        <w:gridCol w:w="1928"/>
        <w:gridCol w:w="1928"/>
        <w:gridCol w:w="1928"/>
      </w:tblGrid>
      <w:tr w14:paraId="451B4F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40" w:type="dxa"/>
            <w:left w:w="80" w:type="dxa"/>
            <w:bottom w:w="40" w:type="dxa"/>
            <w:right w:w="80" w:type="dxa"/>
          </w:tblCellMar>
        </w:tblPrEx>
        <w:trPr>
          <w:tblHeader/>
          <w:jc w:val="center"/>
        </w:trPr>
        <w:tc>
          <w:tcPr>
            <w:tcW w:w="1757" w:type="dxa"/>
            <w:shd w:val="clear" w:color="auto" w:fill="002B49"/>
          </w:tcPr>
          <w:p w14:paraId="51A694AD">
            <w:pPr>
              <w:spacing w:before="40" w:after="40" w:line="240" w:lineRule="auto"/>
            </w:pPr>
            <w:r>
              <w:rPr>
                <w:b/>
                <w:color w:val="FFFFFF"/>
                <w:sz w:val="19"/>
              </w:rPr>
              <w:t>Provider</w:t>
            </w:r>
          </w:p>
        </w:tc>
        <w:tc>
          <w:tcPr>
            <w:tcW w:w="2608" w:type="dxa"/>
            <w:shd w:val="clear" w:color="auto" w:fill="002B49"/>
          </w:tcPr>
          <w:p w14:paraId="109DD548">
            <w:pPr>
              <w:spacing w:before="40" w:after="40" w:line="240" w:lineRule="auto"/>
            </w:pPr>
            <w:r>
              <w:rPr>
                <w:b/>
                <w:color w:val="FFFFFF"/>
                <w:sz w:val="19"/>
              </w:rPr>
              <w:t>Brisbane South East sites / coverage</w:t>
            </w:r>
          </w:p>
        </w:tc>
        <w:tc>
          <w:tcPr>
            <w:tcW w:w="2381" w:type="dxa"/>
            <w:shd w:val="clear" w:color="auto" w:fill="002B49"/>
          </w:tcPr>
          <w:p w14:paraId="55369851">
            <w:pPr>
              <w:spacing w:before="40" w:after="40" w:line="240" w:lineRule="auto"/>
            </w:pPr>
            <w:r>
              <w:rPr>
                <w:b/>
                <w:color w:val="FFFFFF"/>
                <w:sz w:val="19"/>
              </w:rPr>
              <w:t>Program type</w:t>
            </w:r>
          </w:p>
        </w:tc>
        <w:tc>
          <w:tcPr>
            <w:tcW w:w="1701" w:type="dxa"/>
            <w:shd w:val="clear" w:color="auto" w:fill="002B49"/>
          </w:tcPr>
          <w:p w14:paraId="04837C47">
            <w:pPr>
              <w:spacing w:before="40" w:after="40" w:line="240" w:lineRule="auto"/>
            </w:pPr>
            <w:r>
              <w:rPr>
                <w:b/>
                <w:color w:val="FFFFFF"/>
                <w:sz w:val="19"/>
              </w:rPr>
              <w:t>Phone</w:t>
            </w:r>
          </w:p>
        </w:tc>
        <w:tc>
          <w:tcPr>
            <w:tcW w:w="1361" w:type="dxa"/>
            <w:shd w:val="clear" w:color="auto" w:fill="002B49"/>
          </w:tcPr>
          <w:p w14:paraId="581EF484">
            <w:pPr>
              <w:spacing w:before="40" w:after="40" w:line="240" w:lineRule="auto"/>
            </w:pPr>
            <w:r>
              <w:rPr>
                <w:b/>
                <w:color w:val="FFFFFF"/>
                <w:sz w:val="19"/>
              </w:rPr>
              <w:t>Status</w:t>
            </w:r>
          </w:p>
        </w:tc>
      </w:tr>
      <w:tr w14:paraId="50CDC5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40" w:type="dxa"/>
            <w:left w:w="80" w:type="dxa"/>
            <w:bottom w:w="40" w:type="dxa"/>
            <w:right w:w="80" w:type="dxa"/>
          </w:tblCellMar>
        </w:tblPrEx>
        <w:trPr>
          <w:jc w:val="center"/>
        </w:trPr>
        <w:tc>
          <w:tcPr>
            <w:tcW w:w="1757" w:type="dxa"/>
            <w:shd w:val="clear" w:color="auto" w:fill="F5F9FC"/>
          </w:tcPr>
          <w:p w14:paraId="61D56CE7">
            <w:pPr>
              <w:spacing w:before="40" w:after="40" w:line="240" w:lineRule="auto"/>
            </w:pPr>
            <w:r>
              <w:rPr>
                <w:sz w:val="19"/>
              </w:rPr>
              <w:t>PCYC Queensland</w:t>
            </w:r>
          </w:p>
        </w:tc>
        <w:tc>
          <w:tcPr>
            <w:tcW w:w="2608" w:type="dxa"/>
          </w:tcPr>
          <w:p w14:paraId="25B5E3AE">
            <w:pPr>
              <w:spacing w:before="40" w:after="40" w:line="240" w:lineRule="auto"/>
            </w:pPr>
            <w:r>
              <w:rPr>
                <w:sz w:val="19"/>
              </w:rPr>
              <w:t>Carindale (27 Narracott St, Carina 4152); Logan (1 Civic Parade, Logan Central 4114); Logan Central, Woodridge, Springwood, Upper Mount Gravatt</w:t>
            </w:r>
          </w:p>
        </w:tc>
        <w:tc>
          <w:tcPr>
            <w:tcW w:w="2381" w:type="dxa"/>
          </w:tcPr>
          <w:p w14:paraId="5DF27059">
            <w:pPr>
              <w:spacing w:before="40" w:after="40" w:line="240" w:lineRule="auto"/>
            </w:pPr>
            <w:r>
              <w:rPr>
                <w:sz w:val="19"/>
              </w:rPr>
              <w:t>Community Work Placements; Certificate-level vocational training, driver licensing, mentoring</w:t>
            </w:r>
          </w:p>
        </w:tc>
        <w:tc>
          <w:tcPr>
            <w:tcW w:w="1701" w:type="dxa"/>
          </w:tcPr>
          <w:p w14:paraId="315EDD2D">
            <w:pPr>
              <w:spacing w:before="40" w:after="40" w:line="240" w:lineRule="auto"/>
            </w:pPr>
            <w:r>
              <w:rPr>
                <w:sz w:val="19"/>
              </w:rPr>
              <w:t>07 3909 9555; (07) 3442 1700 (Logan); (07) 3398 2381 (Carindale)</w:t>
            </w:r>
          </w:p>
        </w:tc>
        <w:tc>
          <w:tcPr>
            <w:tcW w:w="1361" w:type="dxa"/>
          </w:tcPr>
          <w:p w14:paraId="3D4562D8">
            <w:pPr>
              <w:spacing w:before="40" w:after="40" w:line="240" w:lineRule="auto"/>
            </w:pPr>
            <w:r>
              <w:rPr>
                <w:sz w:val="19"/>
              </w:rPr>
              <w:t>REQUIRES VERIFICATION</w:t>
            </w:r>
          </w:p>
        </w:tc>
      </w:tr>
      <w:tr w14:paraId="75CD20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40" w:type="dxa"/>
            <w:left w:w="80" w:type="dxa"/>
            <w:bottom w:w="40" w:type="dxa"/>
            <w:right w:w="80" w:type="dxa"/>
          </w:tblCellMar>
        </w:tblPrEx>
        <w:trPr>
          <w:jc w:val="center"/>
        </w:trPr>
        <w:tc>
          <w:tcPr>
            <w:tcW w:w="1757" w:type="dxa"/>
            <w:shd w:val="clear" w:color="auto" w:fill="F5F9FC"/>
          </w:tcPr>
          <w:p w14:paraId="6A5B790A">
            <w:pPr>
              <w:spacing w:before="40" w:after="40" w:line="240" w:lineRule="auto"/>
            </w:pPr>
            <w:r>
              <w:rPr>
                <w:sz w:val="19"/>
              </w:rPr>
              <w:t>yourtown (formerly BoysTown)</w:t>
            </w:r>
          </w:p>
        </w:tc>
        <w:tc>
          <w:tcPr>
            <w:tcW w:w="2608" w:type="dxa"/>
          </w:tcPr>
          <w:p w14:paraId="32493A94">
            <w:pPr>
              <w:spacing w:before="40" w:after="40" w:line="240" w:lineRule="auto"/>
            </w:pPr>
            <w:r>
              <w:rPr>
                <w:sz w:val="19"/>
              </w:rPr>
              <w:t>Woodridge (1 Cross Street, 4114); Salisbury (2–26 Commerce Street, 4107); Woodridge, Salisbury, Acacia Ridge, Loganlea, Springwood</w:t>
            </w:r>
          </w:p>
        </w:tc>
        <w:tc>
          <w:tcPr>
            <w:tcW w:w="2381" w:type="dxa"/>
          </w:tcPr>
          <w:p w14:paraId="14FDBD54">
            <w:pPr>
              <w:spacing w:before="40" w:after="40" w:line="240" w:lineRule="auto"/>
            </w:pPr>
            <w:r>
              <w:rPr>
                <w:sz w:val="19"/>
              </w:rPr>
              <w:t>Youth Skills; job readiness training, accredited certificates, paid work placement projects</w:t>
            </w:r>
          </w:p>
        </w:tc>
        <w:tc>
          <w:tcPr>
            <w:tcW w:w="1701" w:type="dxa"/>
          </w:tcPr>
          <w:p w14:paraId="2B848DD3">
            <w:pPr>
              <w:spacing w:before="40" w:after="40" w:line="240" w:lineRule="auto"/>
            </w:pPr>
            <w:r>
              <w:rPr>
                <w:sz w:val="19"/>
              </w:rPr>
              <w:t>1800 673 898 / (07) 3387 8800</w:t>
            </w:r>
          </w:p>
        </w:tc>
        <w:tc>
          <w:tcPr>
            <w:tcW w:w="1361" w:type="dxa"/>
          </w:tcPr>
          <w:p w14:paraId="07D1B6A2">
            <w:pPr>
              <w:spacing w:before="40" w:after="40" w:line="240" w:lineRule="auto"/>
            </w:pPr>
            <w:r>
              <w:rPr>
                <w:sz w:val="19"/>
              </w:rPr>
              <w:t>REQUIRES VERIFICATION</w:t>
            </w:r>
          </w:p>
        </w:tc>
      </w:tr>
      <w:tr w14:paraId="55FF51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40" w:type="dxa"/>
            <w:left w:w="80" w:type="dxa"/>
            <w:bottom w:w="40" w:type="dxa"/>
            <w:right w:w="80" w:type="dxa"/>
          </w:tblCellMar>
        </w:tblPrEx>
        <w:trPr>
          <w:jc w:val="center"/>
        </w:trPr>
        <w:tc>
          <w:tcPr>
            <w:tcW w:w="1757" w:type="dxa"/>
            <w:shd w:val="clear" w:color="auto" w:fill="F5F9FC"/>
          </w:tcPr>
          <w:p w14:paraId="2785A842">
            <w:pPr>
              <w:spacing w:before="40" w:after="40" w:line="240" w:lineRule="auto"/>
            </w:pPr>
            <w:r>
              <w:rPr>
                <w:sz w:val="19"/>
              </w:rPr>
              <w:t>MTC Australia (MTC Future Ready)</w:t>
            </w:r>
          </w:p>
        </w:tc>
        <w:tc>
          <w:tcPr>
            <w:tcW w:w="2608" w:type="dxa"/>
          </w:tcPr>
          <w:p w14:paraId="5338CEDC">
            <w:pPr>
              <w:spacing w:before="40" w:after="40" w:line="240" w:lineRule="auto"/>
            </w:pPr>
            <w:r>
              <w:rPr>
                <w:sz w:val="19"/>
              </w:rPr>
              <w:t>Meadowbrook (Level 1, 1 Logandowns Drive, 4131); Springwood (1–15 Commerce Drive, 4127); Meadowbrook, Springwood, Logan Central, Slacks Creek, Underwood</w:t>
            </w:r>
          </w:p>
        </w:tc>
        <w:tc>
          <w:tcPr>
            <w:tcW w:w="2381" w:type="dxa"/>
          </w:tcPr>
          <w:p w14:paraId="001465BF">
            <w:pPr>
              <w:spacing w:before="40" w:after="40" w:line="240" w:lineRule="auto"/>
            </w:pPr>
            <w:r>
              <w:rPr>
                <w:sz w:val="19"/>
              </w:rPr>
              <w:t>Community Work Placements; Certificate II/III qualifications (Business, Individual Support, Logistics)</w:t>
            </w:r>
          </w:p>
        </w:tc>
        <w:tc>
          <w:tcPr>
            <w:tcW w:w="1701" w:type="dxa"/>
          </w:tcPr>
          <w:p w14:paraId="437BC6A0">
            <w:pPr>
              <w:spacing w:before="40" w:after="40" w:line="240" w:lineRule="auto"/>
            </w:pPr>
            <w:r>
              <w:rPr>
                <w:sz w:val="19"/>
              </w:rPr>
              <w:t>1300 232 663</w:t>
            </w:r>
          </w:p>
        </w:tc>
        <w:tc>
          <w:tcPr>
            <w:tcW w:w="1361" w:type="dxa"/>
          </w:tcPr>
          <w:p w14:paraId="7FF3BFF0">
            <w:pPr>
              <w:spacing w:before="40" w:after="40" w:line="240" w:lineRule="auto"/>
            </w:pPr>
            <w:r>
              <w:rPr>
                <w:sz w:val="19"/>
              </w:rPr>
              <w:t>REQUIRES VERIFICATION</w:t>
            </w:r>
          </w:p>
        </w:tc>
      </w:tr>
      <w:tr w14:paraId="23FF92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40" w:type="dxa"/>
            <w:left w:w="80" w:type="dxa"/>
            <w:bottom w:w="40" w:type="dxa"/>
            <w:right w:w="80" w:type="dxa"/>
          </w:tblCellMar>
        </w:tblPrEx>
        <w:trPr>
          <w:jc w:val="center"/>
        </w:trPr>
        <w:tc>
          <w:tcPr>
            <w:tcW w:w="1757" w:type="dxa"/>
            <w:shd w:val="clear" w:color="auto" w:fill="F5F9FC"/>
          </w:tcPr>
          <w:p w14:paraId="3A049479">
            <w:pPr>
              <w:spacing w:before="40" w:after="40" w:line="240" w:lineRule="auto"/>
            </w:pPr>
            <w:r>
              <w:rPr>
                <w:sz w:val="19"/>
              </w:rPr>
              <w:t>The BUSY Group (BUSY At Work)</w:t>
            </w:r>
          </w:p>
        </w:tc>
        <w:tc>
          <w:tcPr>
            <w:tcW w:w="2608" w:type="dxa"/>
          </w:tcPr>
          <w:p w14:paraId="3035D608">
            <w:pPr>
              <w:spacing w:before="40" w:after="40" w:line="240" w:lineRule="auto"/>
            </w:pPr>
            <w:r>
              <w:rPr>
                <w:sz w:val="19"/>
              </w:rPr>
              <w:t>Slacks Creek (208 Kingston Road, 4127); Coopers Plains (Level 2, 28 Darlot Ave, 4108); Slacks Creek, Coopers Plains, Springwood, Eight Mile Plains</w:t>
            </w:r>
          </w:p>
        </w:tc>
        <w:tc>
          <w:tcPr>
            <w:tcW w:w="2381" w:type="dxa"/>
          </w:tcPr>
          <w:p w14:paraId="62AE47D1">
            <w:pPr>
              <w:spacing w:before="40" w:after="40" w:line="240" w:lineRule="auto"/>
            </w:pPr>
            <w:r>
              <w:rPr>
                <w:sz w:val="19"/>
              </w:rPr>
              <w:t>Ready for Work; accredited courses (Retail, Hospitality, Business, Construction)</w:t>
            </w:r>
          </w:p>
        </w:tc>
        <w:tc>
          <w:tcPr>
            <w:tcW w:w="1701" w:type="dxa"/>
          </w:tcPr>
          <w:p w14:paraId="37EADCE4">
            <w:pPr>
              <w:spacing w:before="40" w:after="40" w:line="240" w:lineRule="auto"/>
            </w:pPr>
            <w:r>
              <w:rPr>
                <w:sz w:val="19"/>
              </w:rPr>
              <w:t>13 28 79</w:t>
            </w:r>
          </w:p>
        </w:tc>
        <w:tc>
          <w:tcPr>
            <w:tcW w:w="1361" w:type="dxa"/>
          </w:tcPr>
          <w:p w14:paraId="41CCF8E3">
            <w:pPr>
              <w:spacing w:before="40" w:after="40" w:line="240" w:lineRule="auto"/>
            </w:pPr>
            <w:r>
              <w:rPr>
                <w:sz w:val="19"/>
              </w:rPr>
              <w:t>REQUIRES VERIFICATION</w:t>
            </w:r>
          </w:p>
        </w:tc>
      </w:tr>
      <w:tr w14:paraId="7061A0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40" w:type="dxa"/>
            <w:left w:w="80" w:type="dxa"/>
            <w:bottom w:w="40" w:type="dxa"/>
            <w:right w:w="80" w:type="dxa"/>
          </w:tblCellMar>
        </w:tblPrEx>
        <w:trPr>
          <w:jc w:val="center"/>
        </w:trPr>
        <w:tc>
          <w:tcPr>
            <w:tcW w:w="1757" w:type="dxa"/>
            <w:shd w:val="clear" w:color="auto" w:fill="F5F9FC"/>
          </w:tcPr>
          <w:p w14:paraId="7B9FABAE">
            <w:pPr>
              <w:spacing w:before="40" w:after="40" w:line="240" w:lineRule="auto"/>
            </w:pPr>
            <w:r>
              <w:rPr>
                <w:sz w:val="19"/>
              </w:rPr>
              <w:t>Community Solutions Group</w:t>
            </w:r>
          </w:p>
        </w:tc>
        <w:tc>
          <w:tcPr>
            <w:tcW w:w="2608" w:type="dxa"/>
          </w:tcPr>
          <w:p w14:paraId="7A17C474">
            <w:pPr>
              <w:spacing w:before="40" w:after="40" w:line="240" w:lineRule="auto"/>
            </w:pPr>
            <w:r>
              <w:rPr>
                <w:sz w:val="19"/>
              </w:rPr>
              <w:t>Beenleigh (Level 1, 93 Main Street, 4207); servicing South Brisbane and Logan</w:t>
            </w:r>
          </w:p>
        </w:tc>
        <w:tc>
          <w:tcPr>
            <w:tcW w:w="2381" w:type="dxa"/>
          </w:tcPr>
          <w:p w14:paraId="0E336765">
            <w:pPr>
              <w:spacing w:before="40" w:after="40" w:line="240" w:lineRule="auto"/>
            </w:pPr>
            <w:r>
              <w:rPr>
                <w:sz w:val="19"/>
              </w:rPr>
              <w:t>Work Skills Traineeships; paid work placement, Certificate II/III training, mentoring</w:t>
            </w:r>
          </w:p>
        </w:tc>
        <w:tc>
          <w:tcPr>
            <w:tcW w:w="1701" w:type="dxa"/>
          </w:tcPr>
          <w:p w14:paraId="2619CF4B">
            <w:pPr>
              <w:spacing w:before="40" w:after="40" w:line="240" w:lineRule="auto"/>
            </w:pPr>
            <w:r>
              <w:rPr>
                <w:sz w:val="19"/>
              </w:rPr>
              <w:t>1300 621 499</w:t>
            </w:r>
          </w:p>
        </w:tc>
        <w:tc>
          <w:tcPr>
            <w:tcW w:w="1361" w:type="dxa"/>
          </w:tcPr>
          <w:p w14:paraId="37D614EE">
            <w:pPr>
              <w:spacing w:before="40" w:after="40" w:line="240" w:lineRule="auto"/>
            </w:pPr>
            <w:r>
              <w:rPr>
                <w:sz w:val="19"/>
              </w:rPr>
              <w:t>REQUIRES VERIFICATION</w:t>
            </w:r>
          </w:p>
        </w:tc>
      </w:tr>
      <w:tr w14:paraId="6B0D7B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40" w:type="dxa"/>
            <w:left w:w="80" w:type="dxa"/>
            <w:bottom w:w="40" w:type="dxa"/>
            <w:right w:w="80" w:type="dxa"/>
          </w:tblCellMar>
        </w:tblPrEx>
        <w:trPr>
          <w:jc w:val="center"/>
        </w:trPr>
        <w:tc>
          <w:tcPr>
            <w:tcW w:w="1757" w:type="dxa"/>
            <w:shd w:val="clear" w:color="auto" w:fill="F5F9FC"/>
          </w:tcPr>
          <w:p w14:paraId="103565BE">
            <w:pPr>
              <w:spacing w:before="40" w:after="40" w:line="240" w:lineRule="auto"/>
            </w:pPr>
            <w:r>
              <w:rPr>
                <w:sz w:val="19"/>
              </w:rPr>
              <w:t>Strategix Training Group</w:t>
            </w:r>
          </w:p>
        </w:tc>
        <w:tc>
          <w:tcPr>
            <w:tcW w:w="2608" w:type="dxa"/>
          </w:tcPr>
          <w:p w14:paraId="56B0ADEC">
            <w:pPr>
              <w:spacing w:before="40" w:after="40" w:line="240" w:lineRule="auto"/>
            </w:pPr>
            <w:r>
              <w:rPr>
                <w:sz w:val="19"/>
              </w:rPr>
              <w:t>Eight Mile Plains, Runcorn, Sunnybank, Springwood and surrounding Brisbane South East postcodes</w:t>
            </w:r>
          </w:p>
        </w:tc>
        <w:tc>
          <w:tcPr>
            <w:tcW w:w="2381" w:type="dxa"/>
          </w:tcPr>
          <w:p w14:paraId="7BC119B1">
            <w:pPr>
              <w:spacing w:before="40" w:after="40" w:line="240" w:lineRule="auto"/>
            </w:pPr>
            <w:r>
              <w:rPr>
                <w:sz w:val="19"/>
              </w:rPr>
              <w:t>Certificate Training; Individual Support, Business, Supply Chain/Logistics, Early Childhood Education</w:t>
            </w:r>
          </w:p>
        </w:tc>
        <w:tc>
          <w:tcPr>
            <w:tcW w:w="1701" w:type="dxa"/>
          </w:tcPr>
          <w:p w14:paraId="4331A84B">
            <w:pPr>
              <w:spacing w:before="40" w:after="40" w:line="240" w:lineRule="auto"/>
            </w:pPr>
            <w:r>
              <w:rPr>
                <w:sz w:val="19"/>
              </w:rPr>
              <w:t>1300 872 464</w:t>
            </w:r>
          </w:p>
        </w:tc>
        <w:tc>
          <w:tcPr>
            <w:tcW w:w="1361" w:type="dxa"/>
          </w:tcPr>
          <w:p w14:paraId="7645164D">
            <w:pPr>
              <w:spacing w:before="40" w:after="40" w:line="240" w:lineRule="auto"/>
            </w:pPr>
            <w:r>
              <w:rPr>
                <w:sz w:val="19"/>
              </w:rPr>
              <w:t>REQUIRES VERIFICATION</w:t>
            </w:r>
          </w:p>
        </w:tc>
      </w:tr>
    </w:tbl>
    <w:p w14:paraId="35A194AC">
      <w:pPr>
        <w:pStyle w:val="3"/>
      </w:pPr>
      <w:r>
        <w:rPr>
          <w:color w:val="0066CC"/>
        </w:rPr>
        <w:t>10.3 Diverse Queensland Workforce (DQW)</w:t>
      </w:r>
    </w:p>
    <w:p w14:paraId="3B212571">
      <w:pPr>
        <w:spacing w:before="0" w:after="120"/>
      </w:pPr>
      <w:r>
        <w:rPr>
          <w:b w:val="0"/>
          <w:i w:val="0"/>
          <w:sz w:val="21"/>
        </w:rPr>
        <w:t>Diverse Queensland Workforce (DQW) is a Queensland Government employment program that supports job-ready migrants, refugees and international students to find employment, through individual career plans, resume and application support, online job search, employment information sessions and employer connections.</w:t>
      </w:r>
    </w:p>
    <w:tbl>
      <w:tblPr>
        <w:tblStyle w:val="35"/>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0" w:type="dxa"/>
          <w:left w:w="80" w:type="dxa"/>
          <w:bottom w:w="40" w:type="dxa"/>
          <w:right w:w="80" w:type="dxa"/>
        </w:tblCellMar>
      </w:tblPr>
      <w:tblGrid>
        <w:gridCol w:w="2409"/>
        <w:gridCol w:w="2409"/>
        <w:gridCol w:w="2409"/>
        <w:gridCol w:w="2409"/>
      </w:tblGrid>
      <w:tr w14:paraId="64969D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40" w:type="dxa"/>
            <w:left w:w="80" w:type="dxa"/>
            <w:bottom w:w="40" w:type="dxa"/>
            <w:right w:w="80" w:type="dxa"/>
          </w:tblCellMar>
        </w:tblPrEx>
        <w:trPr>
          <w:tblHeader/>
          <w:jc w:val="center"/>
        </w:trPr>
        <w:tc>
          <w:tcPr>
            <w:tcW w:w="2041" w:type="dxa"/>
            <w:shd w:val="clear" w:color="auto" w:fill="002B49"/>
          </w:tcPr>
          <w:p w14:paraId="302C9ADB">
            <w:pPr>
              <w:spacing w:before="40" w:after="40" w:line="240" w:lineRule="auto"/>
            </w:pPr>
            <w:r>
              <w:rPr>
                <w:b/>
                <w:color w:val="FFFFFF"/>
                <w:sz w:val="19"/>
              </w:rPr>
              <w:t>Provider</w:t>
            </w:r>
          </w:p>
        </w:tc>
        <w:tc>
          <w:tcPr>
            <w:tcW w:w="3175" w:type="dxa"/>
            <w:shd w:val="clear" w:color="auto" w:fill="002B49"/>
          </w:tcPr>
          <w:p w14:paraId="7206A112">
            <w:pPr>
              <w:spacing w:before="40" w:after="40" w:line="240" w:lineRule="auto"/>
            </w:pPr>
            <w:r>
              <w:rPr>
                <w:b/>
                <w:color w:val="FFFFFF"/>
                <w:sz w:val="19"/>
              </w:rPr>
              <w:t>Brisbane South East locations</w:t>
            </w:r>
          </w:p>
        </w:tc>
        <w:tc>
          <w:tcPr>
            <w:tcW w:w="2608" w:type="dxa"/>
            <w:shd w:val="clear" w:color="auto" w:fill="002B49"/>
          </w:tcPr>
          <w:p w14:paraId="360C161C">
            <w:pPr>
              <w:spacing w:before="40" w:after="40" w:line="240" w:lineRule="auto"/>
            </w:pPr>
            <w:r>
              <w:rPr>
                <w:b/>
                <w:color w:val="FFFFFF"/>
                <w:sz w:val="19"/>
              </w:rPr>
              <w:t>Contact</w:t>
            </w:r>
          </w:p>
        </w:tc>
        <w:tc>
          <w:tcPr>
            <w:tcW w:w="1984" w:type="dxa"/>
            <w:shd w:val="clear" w:color="auto" w:fill="002B49"/>
          </w:tcPr>
          <w:p w14:paraId="740EF117">
            <w:pPr>
              <w:spacing w:before="40" w:after="40" w:line="240" w:lineRule="auto"/>
            </w:pPr>
            <w:r>
              <w:rPr>
                <w:b/>
                <w:color w:val="FFFFFF"/>
                <w:sz w:val="19"/>
              </w:rPr>
              <w:t>Status</w:t>
            </w:r>
          </w:p>
        </w:tc>
      </w:tr>
      <w:tr w14:paraId="00FADC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40" w:type="dxa"/>
            <w:left w:w="80" w:type="dxa"/>
            <w:bottom w:w="40" w:type="dxa"/>
            <w:right w:w="80" w:type="dxa"/>
          </w:tblCellMar>
        </w:tblPrEx>
        <w:trPr>
          <w:jc w:val="center"/>
        </w:trPr>
        <w:tc>
          <w:tcPr>
            <w:tcW w:w="2041" w:type="dxa"/>
            <w:shd w:val="clear" w:color="auto" w:fill="F5F9FC"/>
          </w:tcPr>
          <w:p w14:paraId="439B7EA9">
            <w:pPr>
              <w:spacing w:before="40" w:after="40" w:line="240" w:lineRule="auto"/>
            </w:pPr>
            <w:r>
              <w:rPr>
                <w:sz w:val="19"/>
              </w:rPr>
              <w:t>Multicultural Australia</w:t>
            </w:r>
          </w:p>
        </w:tc>
        <w:tc>
          <w:tcPr>
            <w:tcW w:w="3175" w:type="dxa"/>
          </w:tcPr>
          <w:p w14:paraId="0BC0DC05">
            <w:pPr>
              <w:spacing w:before="40" w:after="40" w:line="240" w:lineRule="auto"/>
            </w:pPr>
            <w:r>
              <w:rPr>
                <w:sz w:val="19"/>
              </w:rPr>
              <w:t>28 Dibley Street, Woolloongabba QLD 4102 (official DQW delivery point; other delivery points include Inala and Redbank Plains)</w:t>
            </w:r>
          </w:p>
        </w:tc>
        <w:tc>
          <w:tcPr>
            <w:tcW w:w="2608" w:type="dxa"/>
          </w:tcPr>
          <w:p w14:paraId="292FEDD8">
            <w:pPr>
              <w:spacing w:before="40" w:after="40" w:line="240" w:lineRule="auto"/>
            </w:pPr>
            <w:r>
              <w:rPr>
                <w:sz w:val="19"/>
              </w:rPr>
              <w:t>07 3337 5400; welcomeworkforce@mcaus.org.au; multiculturalaustralia.org.au</w:t>
            </w:r>
          </w:p>
        </w:tc>
        <w:tc>
          <w:tcPr>
            <w:tcW w:w="1984" w:type="dxa"/>
          </w:tcPr>
          <w:p w14:paraId="02956FDC">
            <w:pPr>
              <w:spacing w:before="40" w:after="40" w:line="240" w:lineRule="auto"/>
            </w:pPr>
            <w:r>
              <w:rPr>
                <w:sz w:val="19"/>
                <w:lang w:val="en-US"/>
              </w:rPr>
              <w:t>REQUIRES VERIFICATION</w:t>
            </w:r>
            <w:r>
              <w:rPr>
                <w:sz w:val="19"/>
              </w:rPr>
              <w:t xml:space="preserve"> — provider and program current (scan)</w:t>
            </w:r>
          </w:p>
        </w:tc>
      </w:tr>
      <w:tr w14:paraId="362DE3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40" w:type="dxa"/>
            <w:left w:w="80" w:type="dxa"/>
            <w:bottom w:w="40" w:type="dxa"/>
            <w:right w:w="80" w:type="dxa"/>
          </w:tblCellMar>
        </w:tblPrEx>
        <w:trPr>
          <w:jc w:val="center"/>
        </w:trPr>
        <w:tc>
          <w:tcPr>
            <w:tcW w:w="2041" w:type="dxa"/>
            <w:shd w:val="clear" w:color="auto" w:fill="F5F9FC"/>
          </w:tcPr>
          <w:p w14:paraId="63BEA494">
            <w:pPr>
              <w:spacing w:before="40" w:after="40" w:line="240" w:lineRule="auto"/>
            </w:pPr>
            <w:r>
              <w:rPr>
                <w:sz w:val="19"/>
              </w:rPr>
              <w:t>MultiLink Community Services</w:t>
            </w:r>
          </w:p>
        </w:tc>
        <w:tc>
          <w:tcPr>
            <w:tcW w:w="3175" w:type="dxa"/>
          </w:tcPr>
          <w:p w14:paraId="731456A4">
            <w:pPr>
              <w:spacing w:before="40" w:after="40" w:line="240" w:lineRule="auto"/>
            </w:pPr>
            <w:r>
              <w:rPr>
                <w:sz w:val="19"/>
              </w:rPr>
              <w:t>Logan Diverse Queensland Workforce Hub, 38 Blackwood Road, Logan Central QLD 4114</w:t>
            </w:r>
          </w:p>
        </w:tc>
        <w:tc>
          <w:tcPr>
            <w:tcW w:w="2608" w:type="dxa"/>
          </w:tcPr>
          <w:p w14:paraId="1A022166">
            <w:pPr>
              <w:spacing w:before="40" w:after="40" w:line="240" w:lineRule="auto"/>
            </w:pPr>
            <w:r>
              <w:rPr>
                <w:sz w:val="19"/>
              </w:rPr>
              <w:t>07 3808 4463; reception@multilink.org.au; multilink.org.au</w:t>
            </w:r>
          </w:p>
        </w:tc>
        <w:tc>
          <w:tcPr>
            <w:tcW w:w="1984" w:type="dxa"/>
          </w:tcPr>
          <w:p w14:paraId="4F8C0BA5">
            <w:pPr>
              <w:spacing w:before="40" w:after="40" w:line="240" w:lineRule="auto"/>
            </w:pPr>
            <w:r>
              <w:rPr>
                <w:sz w:val="19"/>
                <w:lang w:val="en-US"/>
              </w:rPr>
              <w:t>REQUIRES VERIFICATION</w:t>
            </w:r>
            <w:r>
              <w:rPr>
                <w:sz w:val="19"/>
              </w:rPr>
              <w:t xml:space="preserve"> — official Logan DQW provider (scan)</w:t>
            </w:r>
          </w:p>
        </w:tc>
      </w:tr>
      <w:tr w14:paraId="428E13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40" w:type="dxa"/>
            <w:left w:w="80" w:type="dxa"/>
            <w:bottom w:w="40" w:type="dxa"/>
            <w:right w:w="80" w:type="dxa"/>
          </w:tblCellMar>
        </w:tblPrEx>
        <w:trPr>
          <w:jc w:val="center"/>
        </w:trPr>
        <w:tc>
          <w:tcPr>
            <w:tcW w:w="2041" w:type="dxa"/>
            <w:shd w:val="clear" w:color="auto" w:fill="F5F9FC"/>
          </w:tcPr>
          <w:p w14:paraId="06CCC106">
            <w:pPr>
              <w:spacing w:before="40" w:after="40" w:line="240" w:lineRule="auto"/>
            </w:pPr>
            <w:r>
              <w:rPr>
                <w:sz w:val="19"/>
              </w:rPr>
              <w:t>Multicultural Community Centre Brisbane (MCC)</w:t>
            </w:r>
          </w:p>
        </w:tc>
        <w:tc>
          <w:tcPr>
            <w:tcW w:w="3175" w:type="dxa"/>
          </w:tcPr>
          <w:p w14:paraId="777F90C5">
            <w:pPr>
              <w:spacing w:before="40" w:after="40" w:line="240" w:lineRule="auto"/>
            </w:pPr>
            <w:r>
              <w:rPr>
                <w:sz w:val="19"/>
              </w:rPr>
              <w:t>One Stop Shop DQW program, Newmarket QLD 4051 (office outside the Brisbane South East postcode list; program serves Brisbane)</w:t>
            </w:r>
          </w:p>
        </w:tc>
        <w:tc>
          <w:tcPr>
            <w:tcW w:w="2608" w:type="dxa"/>
          </w:tcPr>
          <w:p w14:paraId="746173CA">
            <w:pPr>
              <w:spacing w:before="40" w:after="40" w:line="240" w:lineRule="auto"/>
            </w:pPr>
            <w:r>
              <w:rPr>
                <w:sz w:val="19"/>
              </w:rPr>
              <w:t>07 3257 1868; mccbrisbane.org</w:t>
            </w:r>
          </w:p>
        </w:tc>
        <w:tc>
          <w:tcPr>
            <w:tcW w:w="1984" w:type="dxa"/>
          </w:tcPr>
          <w:p w14:paraId="204C0048">
            <w:pPr>
              <w:spacing w:before="40" w:after="40" w:line="240" w:lineRule="auto"/>
            </w:pPr>
            <w:r>
              <w:rPr>
                <w:sz w:val="19"/>
                <w:lang w:val="en-US"/>
              </w:rPr>
              <w:t>REQUIRES VERIFICATION</w:t>
            </w:r>
            <w:r>
              <w:rPr>
                <w:sz w:val="19"/>
              </w:rPr>
              <w:t xml:space="preserve"> — official Brisbane DQW provider (scan); no direct service postcode match within the supplied list</w:t>
            </w:r>
          </w:p>
        </w:tc>
      </w:tr>
    </w:tbl>
    <w:p w14:paraId="18F446FB">
      <w:pPr>
        <w:pStyle w:val="3"/>
      </w:pPr>
      <w:r>
        <w:rPr>
          <w:color w:val="0066CC"/>
        </w:rPr>
        <w:t>10.4 Overseas Qualification Recognition (OQU)</w:t>
      </w:r>
    </w:p>
    <w:p w14:paraId="0A24A25C">
      <w:pPr>
        <w:spacing w:before="0" w:after="120"/>
      </w:pPr>
      <w:r>
        <w:rPr>
          <w:b w:val="0"/>
          <w:i w:val="0"/>
          <w:sz w:val="21"/>
        </w:rPr>
        <w:t>Overseas qualification recognition helps migrants and refugees with overseas qualifications to have them assessed for Australian purposes. The Queensland Government's Overseas Qualification Unit (OQU) is the official assessing body for general academic comparability in Queensland. Other organisations in the region assist clients to navigate qualification recognition pathways (they do not issue the assessment).</w:t>
      </w:r>
    </w:p>
    <w:p w14:paraId="12925B83">
      <w:pPr>
        <w:pStyle w:val="4"/>
      </w:pPr>
      <w:r>
        <w:rPr>
          <w:color w:val="002B49"/>
        </w:rPr>
        <w:t>Queensland Government – Overseas Qualification Unit (OQU)</w:t>
      </w:r>
    </w:p>
    <w:tbl>
      <w:tblPr>
        <w:tblStyle w:val="3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30" w:type="dxa"/>
          <w:left w:w="80" w:type="dxa"/>
          <w:bottom w:w="30" w:type="dxa"/>
          <w:right w:w="80" w:type="dxa"/>
        </w:tblCellMar>
      </w:tblPr>
      <w:tblGrid>
        <w:gridCol w:w="2409"/>
        <w:gridCol w:w="2409"/>
        <w:gridCol w:w="1"/>
        <w:gridCol w:w="2408"/>
        <w:gridCol w:w="2409"/>
        <w:gridCol w:w="2"/>
      </w:tblGrid>
      <w:tr w14:paraId="532632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30" w:type="dxa"/>
            <w:left w:w="80" w:type="dxa"/>
            <w:bottom w:w="30" w:type="dxa"/>
            <w:right w:w="80" w:type="dxa"/>
          </w:tblCellMar>
        </w:tblPrEx>
        <w:tc>
          <w:tcPr>
            <w:tcW w:w="2494" w:type="dxa"/>
            <w:gridSpan w:val="3"/>
            <w:shd w:val="clear" w:color="auto" w:fill="E8F4FD"/>
          </w:tcPr>
          <w:p w14:paraId="5A6040A1">
            <w:pPr>
              <w:spacing w:before="20" w:after="20" w:line="240" w:lineRule="auto"/>
            </w:pPr>
            <w:r>
              <w:rPr>
                <w:b/>
                <w:color w:val="002B49"/>
                <w:sz w:val="19"/>
              </w:rPr>
              <w:t>Organisation</w:t>
            </w:r>
          </w:p>
        </w:tc>
        <w:tc>
          <w:tcPr>
            <w:tcW w:w="7143" w:type="dxa"/>
            <w:gridSpan w:val="3"/>
          </w:tcPr>
          <w:p w14:paraId="3EFEB19F">
            <w:pPr>
              <w:spacing w:before="20" w:after="20" w:line="240" w:lineRule="auto"/>
            </w:pPr>
            <w:r>
              <w:rPr>
                <w:sz w:val="19"/>
              </w:rPr>
              <w:t>Queensland Government — Overseas Qualification Unit (OQU)</w:t>
            </w:r>
          </w:p>
        </w:tc>
      </w:tr>
      <w:tr w14:paraId="4B714F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30" w:type="dxa"/>
            <w:left w:w="80" w:type="dxa"/>
            <w:bottom w:w="30" w:type="dxa"/>
            <w:right w:w="80" w:type="dxa"/>
          </w:tblCellMar>
        </w:tblPrEx>
        <w:tc>
          <w:tcPr>
            <w:tcW w:w="2494" w:type="dxa"/>
            <w:gridSpan w:val="3"/>
            <w:shd w:val="clear" w:color="auto" w:fill="E8F4FD"/>
          </w:tcPr>
          <w:p w14:paraId="7651152F">
            <w:pPr>
              <w:spacing w:before="20" w:after="20" w:line="240" w:lineRule="auto"/>
            </w:pPr>
            <w:r>
              <w:rPr>
                <w:b/>
                <w:color w:val="002B49"/>
                <w:sz w:val="19"/>
              </w:rPr>
              <w:t>Program / Service</w:t>
            </w:r>
          </w:p>
        </w:tc>
        <w:tc>
          <w:tcPr>
            <w:tcW w:w="7143" w:type="dxa"/>
            <w:gridSpan w:val="3"/>
          </w:tcPr>
          <w:p w14:paraId="53108D6D">
            <w:pPr>
              <w:spacing w:before="20" w:after="20" w:line="240" w:lineRule="auto"/>
            </w:pPr>
            <w:r>
              <w:rPr>
                <w:sz w:val="19"/>
              </w:rPr>
              <w:t>Overseas Qualification Assessment — General Academic Assessment</w:t>
            </w:r>
          </w:p>
        </w:tc>
      </w:tr>
      <w:tr w14:paraId="44089B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30" w:type="dxa"/>
            <w:left w:w="80" w:type="dxa"/>
            <w:bottom w:w="30" w:type="dxa"/>
            <w:right w:w="80" w:type="dxa"/>
          </w:tblCellMar>
        </w:tblPrEx>
        <w:tc>
          <w:tcPr>
            <w:tcW w:w="2494" w:type="dxa"/>
            <w:gridSpan w:val="3"/>
            <w:shd w:val="clear" w:color="auto" w:fill="E8F4FD"/>
          </w:tcPr>
          <w:p w14:paraId="496978B6">
            <w:pPr>
              <w:spacing w:before="20" w:after="20" w:line="240" w:lineRule="auto"/>
            </w:pPr>
            <w:r>
              <w:rPr>
                <w:b/>
                <w:color w:val="002B49"/>
                <w:sz w:val="19"/>
              </w:rPr>
              <w:t>Service Description</w:t>
            </w:r>
          </w:p>
        </w:tc>
        <w:tc>
          <w:tcPr>
            <w:tcW w:w="7143" w:type="dxa"/>
            <w:gridSpan w:val="3"/>
          </w:tcPr>
          <w:p w14:paraId="433F3D63">
            <w:pPr>
              <w:spacing w:before="20" w:after="20" w:line="240" w:lineRule="auto"/>
            </w:pPr>
            <w:r>
              <w:rPr>
                <w:sz w:val="19"/>
              </w:rPr>
              <w:t>Official assessing body providing an assessment showing the general comparability of eligible overseas post-secondary qualifications.</w:t>
            </w:r>
          </w:p>
        </w:tc>
      </w:tr>
      <w:tr w14:paraId="421413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30" w:type="dxa"/>
            <w:left w:w="80" w:type="dxa"/>
            <w:bottom w:w="30" w:type="dxa"/>
            <w:right w:w="80" w:type="dxa"/>
          </w:tblCellMar>
        </w:tblPrEx>
        <w:tc>
          <w:tcPr>
            <w:tcW w:w="2494" w:type="dxa"/>
            <w:gridSpan w:val="3"/>
            <w:shd w:val="clear" w:color="auto" w:fill="E8F4FD"/>
          </w:tcPr>
          <w:p w14:paraId="68FCC720">
            <w:pPr>
              <w:spacing w:before="20" w:after="20" w:line="240" w:lineRule="auto"/>
            </w:pPr>
            <w:r>
              <w:rPr>
                <w:b/>
                <w:color w:val="002B49"/>
                <w:sz w:val="19"/>
              </w:rPr>
              <w:t>Who They Support</w:t>
            </w:r>
          </w:p>
        </w:tc>
        <w:tc>
          <w:tcPr>
            <w:tcW w:w="7143" w:type="dxa"/>
            <w:gridSpan w:val="3"/>
          </w:tcPr>
          <w:p w14:paraId="5E2B006C">
            <w:pPr>
              <w:spacing w:before="20" w:after="20" w:line="240" w:lineRule="auto"/>
            </w:pPr>
            <w:r>
              <w:rPr>
                <w:sz w:val="19"/>
              </w:rPr>
              <w:t>Queensland residents with overseas higher education or higher-level vocational qualifications</w:t>
            </w:r>
          </w:p>
        </w:tc>
      </w:tr>
      <w:tr w14:paraId="07270B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30" w:type="dxa"/>
            <w:left w:w="80" w:type="dxa"/>
            <w:bottom w:w="30" w:type="dxa"/>
            <w:right w:w="80" w:type="dxa"/>
          </w:tblCellMar>
        </w:tblPrEx>
        <w:tc>
          <w:tcPr>
            <w:tcW w:w="2494" w:type="dxa"/>
            <w:gridSpan w:val="3"/>
            <w:shd w:val="clear" w:color="auto" w:fill="E8F4FD"/>
          </w:tcPr>
          <w:p w14:paraId="1CEDD314">
            <w:pPr>
              <w:spacing w:before="20" w:after="20" w:line="240" w:lineRule="auto"/>
            </w:pPr>
            <w:r>
              <w:rPr>
                <w:b/>
                <w:color w:val="002B49"/>
                <w:sz w:val="19"/>
              </w:rPr>
              <w:t>Eligibility</w:t>
            </w:r>
          </w:p>
        </w:tc>
        <w:tc>
          <w:tcPr>
            <w:tcW w:w="7143" w:type="dxa"/>
            <w:gridSpan w:val="3"/>
          </w:tcPr>
          <w:p w14:paraId="5B59BF6A">
            <w:pPr>
              <w:spacing w:before="20" w:after="20" w:line="240" w:lineRule="auto"/>
            </w:pPr>
            <w:r>
              <w:rPr>
                <w:sz w:val="19"/>
              </w:rPr>
              <w:t>Queensland resident; permission to work/study; completed eligible overseas post-secondary qualifications</w:t>
            </w:r>
          </w:p>
        </w:tc>
      </w:tr>
      <w:tr w14:paraId="7BF25C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30" w:type="dxa"/>
            <w:left w:w="80" w:type="dxa"/>
            <w:bottom w:w="30" w:type="dxa"/>
            <w:right w:w="80" w:type="dxa"/>
          </w:tblCellMar>
        </w:tblPrEx>
        <w:tc>
          <w:tcPr>
            <w:tcW w:w="2494" w:type="dxa"/>
            <w:gridSpan w:val="3"/>
            <w:shd w:val="clear" w:color="auto" w:fill="E8F4FD"/>
          </w:tcPr>
          <w:p w14:paraId="06190046">
            <w:pPr>
              <w:spacing w:before="20" w:after="20" w:line="240" w:lineRule="auto"/>
            </w:pPr>
            <w:r>
              <w:rPr>
                <w:b/>
                <w:color w:val="002B49"/>
                <w:sz w:val="19"/>
              </w:rPr>
              <w:t>Address</w:t>
            </w:r>
          </w:p>
        </w:tc>
        <w:tc>
          <w:tcPr>
            <w:tcW w:w="7143" w:type="dxa"/>
            <w:gridSpan w:val="3"/>
          </w:tcPr>
          <w:p w14:paraId="2859C54A">
            <w:pPr>
              <w:spacing w:before="20" w:after="20" w:line="240" w:lineRule="auto"/>
            </w:pPr>
            <w:r>
              <w:rPr>
                <w:sz w:val="19"/>
              </w:rPr>
              <w:t>PO Box 15483, City East QLD 4002</w:t>
            </w:r>
          </w:p>
        </w:tc>
      </w:tr>
      <w:tr w14:paraId="0E19B7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30" w:type="dxa"/>
            <w:left w:w="80" w:type="dxa"/>
            <w:bottom w:w="30" w:type="dxa"/>
            <w:right w:w="80" w:type="dxa"/>
          </w:tblCellMar>
        </w:tblPrEx>
        <w:tc>
          <w:tcPr>
            <w:tcW w:w="2494" w:type="dxa"/>
            <w:gridSpan w:val="3"/>
            <w:shd w:val="clear" w:color="auto" w:fill="E8F4FD"/>
          </w:tcPr>
          <w:p w14:paraId="26E76505">
            <w:pPr>
              <w:spacing w:before="20" w:after="20" w:line="240" w:lineRule="auto"/>
            </w:pPr>
            <w:r>
              <w:rPr>
                <w:b/>
                <w:color w:val="002B49"/>
                <w:sz w:val="19"/>
              </w:rPr>
              <w:t>Phone</w:t>
            </w:r>
          </w:p>
        </w:tc>
        <w:tc>
          <w:tcPr>
            <w:tcW w:w="7143" w:type="dxa"/>
            <w:gridSpan w:val="3"/>
          </w:tcPr>
          <w:p w14:paraId="7048058A">
            <w:pPr>
              <w:spacing w:before="20" w:after="20" w:line="240" w:lineRule="auto"/>
            </w:pPr>
            <w:r>
              <w:rPr>
                <w:sz w:val="19"/>
              </w:rPr>
              <w:t>1300 369 935</w:t>
            </w:r>
          </w:p>
        </w:tc>
      </w:tr>
      <w:tr w14:paraId="52A000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30" w:type="dxa"/>
            <w:left w:w="80" w:type="dxa"/>
            <w:bottom w:w="30" w:type="dxa"/>
            <w:right w:w="80" w:type="dxa"/>
          </w:tblCellMar>
        </w:tblPrEx>
        <w:tc>
          <w:tcPr>
            <w:tcW w:w="2494" w:type="dxa"/>
            <w:gridSpan w:val="3"/>
            <w:shd w:val="clear" w:color="auto" w:fill="E8F4FD"/>
          </w:tcPr>
          <w:p w14:paraId="51EEA530">
            <w:pPr>
              <w:spacing w:before="20" w:after="20" w:line="240" w:lineRule="auto"/>
            </w:pPr>
            <w:r>
              <w:rPr>
                <w:b/>
                <w:color w:val="002B49"/>
                <w:sz w:val="19"/>
              </w:rPr>
              <w:t>Email</w:t>
            </w:r>
          </w:p>
        </w:tc>
        <w:tc>
          <w:tcPr>
            <w:tcW w:w="7143" w:type="dxa"/>
            <w:gridSpan w:val="3"/>
          </w:tcPr>
          <w:p w14:paraId="1B4B4E5F">
            <w:pPr>
              <w:spacing w:before="20" w:after="20" w:line="240" w:lineRule="auto"/>
            </w:pPr>
            <w:r>
              <w:rPr>
                <w:sz w:val="19"/>
              </w:rPr>
              <w:t>oqu@dtet.qld.gov.au</w:t>
            </w:r>
          </w:p>
        </w:tc>
      </w:tr>
      <w:tr w14:paraId="0DACF8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30" w:type="dxa"/>
            <w:left w:w="80" w:type="dxa"/>
            <w:bottom w:w="30" w:type="dxa"/>
            <w:right w:w="80" w:type="dxa"/>
          </w:tblCellMar>
        </w:tblPrEx>
        <w:tc>
          <w:tcPr>
            <w:tcW w:w="2494" w:type="dxa"/>
            <w:gridSpan w:val="3"/>
            <w:shd w:val="clear" w:color="auto" w:fill="E8F4FD"/>
          </w:tcPr>
          <w:p w14:paraId="60EE511F">
            <w:pPr>
              <w:spacing w:before="20" w:after="20" w:line="240" w:lineRule="auto"/>
            </w:pPr>
            <w:r>
              <w:rPr>
                <w:b/>
                <w:color w:val="002B49"/>
                <w:sz w:val="19"/>
              </w:rPr>
              <w:t>Website</w:t>
            </w:r>
          </w:p>
        </w:tc>
        <w:tc>
          <w:tcPr>
            <w:tcW w:w="7143" w:type="dxa"/>
            <w:gridSpan w:val="3"/>
          </w:tcPr>
          <w:p w14:paraId="253FA9A8">
            <w:pPr>
              <w:spacing w:before="20" w:after="20" w:line="240" w:lineRule="auto"/>
            </w:pPr>
            <w:r>
              <w:fldChar w:fldCharType="begin"/>
            </w:r>
            <w:r>
              <w:instrText xml:space="preserve"> HYPERLINK "https://www.qld.gov.au" \h </w:instrText>
            </w:r>
            <w:r>
              <w:fldChar w:fldCharType="separate"/>
            </w:r>
            <w:r>
              <w:rPr>
                <w:rFonts w:ascii="Calibri" w:hAnsi="Calibri"/>
                <w:color w:val="0066CC"/>
                <w:sz w:val="19"/>
                <w:u w:val="single"/>
              </w:rPr>
              <w:t>https://www.qld.gov.au</w:t>
            </w:r>
            <w:r>
              <w:rPr>
                <w:rFonts w:ascii="Calibri" w:hAnsi="Calibri"/>
                <w:color w:val="0066CC"/>
                <w:sz w:val="19"/>
                <w:u w:val="single"/>
              </w:rPr>
              <w:fldChar w:fldCharType="end"/>
            </w:r>
          </w:p>
        </w:tc>
      </w:tr>
      <w:tr w14:paraId="5FE1F8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30" w:type="dxa"/>
            <w:left w:w="80" w:type="dxa"/>
            <w:bottom w:w="30" w:type="dxa"/>
            <w:right w:w="80" w:type="dxa"/>
          </w:tblCellMar>
        </w:tblPrEx>
        <w:tc>
          <w:tcPr>
            <w:tcW w:w="2494" w:type="dxa"/>
            <w:gridSpan w:val="3"/>
            <w:shd w:val="clear" w:color="auto" w:fill="E8F4FD"/>
          </w:tcPr>
          <w:p w14:paraId="491604ED">
            <w:pPr>
              <w:spacing w:before="20" w:after="20" w:line="240" w:lineRule="auto"/>
            </w:pPr>
            <w:r>
              <w:rPr>
                <w:b/>
                <w:color w:val="002B49"/>
                <w:sz w:val="19"/>
              </w:rPr>
              <w:t>Referral / Intake</w:t>
            </w:r>
          </w:p>
        </w:tc>
        <w:tc>
          <w:tcPr>
            <w:tcW w:w="7143" w:type="dxa"/>
            <w:gridSpan w:val="3"/>
          </w:tcPr>
          <w:p w14:paraId="64E8FAE8">
            <w:pPr>
              <w:spacing w:before="20" w:after="20" w:line="240" w:lineRule="auto"/>
            </w:pPr>
            <w:r>
              <w:rPr>
                <w:sz w:val="19"/>
              </w:rPr>
              <w:t>Applicant completes the OQU application and submits certified qualifications, transcripts and residency evidence</w:t>
            </w:r>
          </w:p>
        </w:tc>
      </w:tr>
      <w:tr w14:paraId="21C38E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30" w:type="dxa"/>
            <w:left w:w="80" w:type="dxa"/>
            <w:bottom w:w="30" w:type="dxa"/>
            <w:right w:w="80" w:type="dxa"/>
          </w:tblCellMar>
        </w:tblPrEx>
        <w:tc>
          <w:tcPr>
            <w:tcW w:w="2494" w:type="dxa"/>
            <w:gridSpan w:val="3"/>
            <w:shd w:val="clear" w:color="auto" w:fill="E8F4FD"/>
          </w:tcPr>
          <w:p w14:paraId="7350DA89">
            <w:pPr>
              <w:spacing w:before="20" w:after="20" w:line="240" w:lineRule="auto"/>
            </w:pPr>
            <w:r>
              <w:rPr>
                <w:b/>
                <w:color w:val="002B49"/>
                <w:sz w:val="19"/>
              </w:rPr>
              <w:t>Verification Status</w:t>
            </w:r>
          </w:p>
        </w:tc>
        <w:tc>
          <w:tcPr>
            <w:tcW w:w="7143" w:type="dxa"/>
            <w:gridSpan w:val="3"/>
          </w:tcPr>
          <w:p w14:paraId="64810569">
            <w:pPr>
              <w:spacing w:before="20" w:after="20" w:line="240" w:lineRule="auto"/>
            </w:pPr>
            <w:r>
              <w:rPr>
                <w:sz w:val="19"/>
                <w:lang w:val="en-US"/>
              </w:rPr>
              <w:t>REQUIRES VERIFICATION</w:t>
            </w:r>
            <w:r>
              <w:rPr>
                <w:sz w:val="19"/>
              </w:rPr>
              <w:t xml:space="preserve"> — official OQU assessing body</w:t>
            </w:r>
          </w:p>
        </w:tc>
      </w:tr>
      <w:tr w14:paraId="7D2556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40" w:type="dxa"/>
            <w:left w:w="80" w:type="dxa"/>
            <w:bottom w:w="40" w:type="dxa"/>
            <w:right w:w="80" w:type="dxa"/>
          </w:tblCellMar>
        </w:tblPrEx>
        <w:trPr>
          <w:gridAfter w:val="1"/>
          <w:tblHeader/>
          <w:jc w:val="center"/>
        </w:trPr>
        <w:tc>
          <w:tcPr>
            <w:tcW w:w="2494" w:type="dxa"/>
            <w:shd w:val="clear" w:color="auto" w:fill="002B49"/>
          </w:tcPr>
          <w:p w14:paraId="14213EAB">
            <w:pPr>
              <w:spacing w:before="40" w:after="40" w:line="240" w:lineRule="auto"/>
            </w:pPr>
            <w:r>
              <w:rPr>
                <w:b/>
                <w:color w:val="FFFFFF"/>
                <w:sz w:val="19"/>
              </w:rPr>
              <w:t>Support provider (qualification recognition pathways)</w:t>
            </w:r>
          </w:p>
        </w:tc>
        <w:tc>
          <w:tcPr>
            <w:tcW w:w="3402" w:type="dxa"/>
            <w:shd w:val="clear" w:color="auto" w:fill="002B49"/>
          </w:tcPr>
          <w:p w14:paraId="174D2252">
            <w:pPr>
              <w:spacing w:before="40" w:after="40" w:line="240" w:lineRule="auto"/>
            </w:pPr>
            <w:r>
              <w:rPr>
                <w:b/>
                <w:color w:val="FFFFFF"/>
                <w:sz w:val="19"/>
              </w:rPr>
              <w:t>Program / focus</w:t>
            </w:r>
          </w:p>
        </w:tc>
        <w:tc>
          <w:tcPr>
            <w:tcW w:w="2494" w:type="dxa"/>
            <w:gridSpan w:val="2"/>
            <w:shd w:val="clear" w:color="auto" w:fill="002B49"/>
          </w:tcPr>
          <w:p w14:paraId="274B564E">
            <w:pPr>
              <w:spacing w:before="40" w:after="40" w:line="240" w:lineRule="auto"/>
            </w:pPr>
            <w:r>
              <w:rPr>
                <w:b/>
                <w:color w:val="FFFFFF"/>
                <w:sz w:val="19"/>
              </w:rPr>
              <w:t>Contact</w:t>
            </w:r>
          </w:p>
        </w:tc>
        <w:tc>
          <w:tcPr>
            <w:tcW w:w="1644" w:type="dxa"/>
            <w:shd w:val="clear" w:color="auto" w:fill="002B49"/>
          </w:tcPr>
          <w:p w14:paraId="6239E41D">
            <w:pPr>
              <w:spacing w:before="40" w:after="40" w:line="240" w:lineRule="auto"/>
            </w:pPr>
            <w:r>
              <w:rPr>
                <w:b/>
                <w:color w:val="FFFFFF"/>
                <w:sz w:val="19"/>
              </w:rPr>
              <w:t>Status</w:t>
            </w:r>
          </w:p>
        </w:tc>
      </w:tr>
      <w:tr w14:paraId="79BF55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40" w:type="dxa"/>
            <w:left w:w="80" w:type="dxa"/>
            <w:bottom w:w="40" w:type="dxa"/>
            <w:right w:w="80" w:type="dxa"/>
          </w:tblCellMar>
        </w:tblPrEx>
        <w:trPr>
          <w:gridAfter w:val="1"/>
          <w:jc w:val="center"/>
        </w:trPr>
        <w:tc>
          <w:tcPr>
            <w:tcW w:w="2494" w:type="dxa"/>
            <w:shd w:val="clear" w:color="auto" w:fill="F5F9FC"/>
          </w:tcPr>
          <w:p w14:paraId="5221B26E">
            <w:pPr>
              <w:spacing w:before="40" w:after="40" w:line="240" w:lineRule="auto"/>
            </w:pPr>
            <w:r>
              <w:rPr>
                <w:sz w:val="19"/>
              </w:rPr>
              <w:t>Multicultural Australia</w:t>
            </w:r>
          </w:p>
        </w:tc>
        <w:tc>
          <w:tcPr>
            <w:tcW w:w="3402" w:type="dxa"/>
          </w:tcPr>
          <w:p w14:paraId="579A225D">
            <w:pPr>
              <w:spacing w:before="40" w:after="40" w:line="240" w:lineRule="auto"/>
            </w:pPr>
            <w:r>
              <w:rPr>
                <w:sz w:val="19"/>
              </w:rPr>
              <w:t>Government-supported employment programs; Diverse Queensland Workforce; helps clients get overseas qualifications recognised (not the assessing authority)</w:t>
            </w:r>
          </w:p>
        </w:tc>
        <w:tc>
          <w:tcPr>
            <w:tcW w:w="2494" w:type="dxa"/>
            <w:gridSpan w:val="2"/>
          </w:tcPr>
          <w:p w14:paraId="0C6DF63C">
            <w:pPr>
              <w:spacing w:before="40" w:after="40" w:line="240" w:lineRule="auto"/>
            </w:pPr>
            <w:r>
              <w:rPr>
                <w:sz w:val="19"/>
              </w:rPr>
              <w:t>07 3337 5400; welcomeworkforce@mcaus.org.au; multiculturalaustralia.org.au</w:t>
            </w:r>
          </w:p>
        </w:tc>
        <w:tc>
          <w:tcPr>
            <w:tcW w:w="1644" w:type="dxa"/>
          </w:tcPr>
          <w:p w14:paraId="2E328D7A">
            <w:pPr>
              <w:spacing w:before="40" w:after="40" w:line="240" w:lineRule="auto"/>
            </w:pPr>
            <w:r>
              <w:rPr>
                <w:sz w:val="19"/>
                <w:lang w:val="en-US"/>
              </w:rPr>
              <w:t>REQUIRES VERIFICATION</w:t>
            </w:r>
            <w:r>
              <w:rPr>
                <w:sz w:val="19"/>
              </w:rPr>
              <w:t xml:space="preserve"> — assists with recognition pathways</w:t>
            </w:r>
          </w:p>
        </w:tc>
      </w:tr>
      <w:tr w14:paraId="15B67E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40" w:type="dxa"/>
            <w:left w:w="80" w:type="dxa"/>
            <w:bottom w:w="40" w:type="dxa"/>
            <w:right w:w="80" w:type="dxa"/>
          </w:tblCellMar>
        </w:tblPrEx>
        <w:trPr>
          <w:gridAfter w:val="1"/>
          <w:jc w:val="center"/>
        </w:trPr>
        <w:tc>
          <w:tcPr>
            <w:tcW w:w="2494" w:type="dxa"/>
            <w:shd w:val="clear" w:color="auto" w:fill="F5F9FC"/>
          </w:tcPr>
          <w:p w14:paraId="7C679467">
            <w:pPr>
              <w:spacing w:before="40" w:after="40" w:line="240" w:lineRule="auto"/>
            </w:pPr>
            <w:r>
              <w:rPr>
                <w:sz w:val="19"/>
              </w:rPr>
              <w:t>MultiLink Community Services</w:t>
            </w:r>
          </w:p>
        </w:tc>
        <w:tc>
          <w:tcPr>
            <w:tcW w:w="3402" w:type="dxa"/>
          </w:tcPr>
          <w:p w14:paraId="48EF6EEA">
            <w:pPr>
              <w:spacing w:before="40" w:after="40" w:line="240" w:lineRule="auto"/>
            </w:pPr>
            <w:r>
              <w:rPr>
                <w:sz w:val="19"/>
              </w:rPr>
              <w:t>Logan Diverse Workforce Hub — support with recognition of prior qualifications, employment and training</w:t>
            </w:r>
          </w:p>
        </w:tc>
        <w:tc>
          <w:tcPr>
            <w:tcW w:w="2494" w:type="dxa"/>
            <w:gridSpan w:val="2"/>
          </w:tcPr>
          <w:p w14:paraId="35115A43">
            <w:pPr>
              <w:spacing w:before="40" w:after="40" w:line="240" w:lineRule="auto"/>
            </w:pPr>
            <w:r>
              <w:rPr>
                <w:sz w:val="19"/>
              </w:rPr>
              <w:t>07 3808 4463; reception@multilink.org.au</w:t>
            </w:r>
          </w:p>
        </w:tc>
        <w:tc>
          <w:tcPr>
            <w:tcW w:w="1644" w:type="dxa"/>
          </w:tcPr>
          <w:p w14:paraId="45A45E02">
            <w:pPr>
              <w:spacing w:before="40" w:after="40" w:line="240" w:lineRule="auto"/>
            </w:pPr>
            <w:r>
              <w:rPr>
                <w:sz w:val="19"/>
                <w:lang w:val="en-US"/>
              </w:rPr>
              <w:t>REQUIRES VERIFICATION</w:t>
            </w:r>
            <w:r>
              <w:rPr>
                <w:sz w:val="19"/>
              </w:rPr>
              <w:t xml:space="preserve"> — assists with recognition pathways</w:t>
            </w:r>
          </w:p>
        </w:tc>
      </w:tr>
      <w:tr w14:paraId="35EC5F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40" w:type="dxa"/>
            <w:left w:w="80" w:type="dxa"/>
            <w:bottom w:w="40" w:type="dxa"/>
            <w:right w:w="80" w:type="dxa"/>
          </w:tblCellMar>
        </w:tblPrEx>
        <w:trPr>
          <w:gridAfter w:val="1"/>
          <w:jc w:val="center"/>
        </w:trPr>
        <w:tc>
          <w:tcPr>
            <w:tcW w:w="2494" w:type="dxa"/>
            <w:shd w:val="clear" w:color="auto" w:fill="F5F9FC"/>
          </w:tcPr>
          <w:p w14:paraId="365C69FC">
            <w:pPr>
              <w:spacing w:before="40" w:after="40" w:line="240" w:lineRule="auto"/>
            </w:pPr>
            <w:r>
              <w:rPr>
                <w:sz w:val="19"/>
              </w:rPr>
              <w:t>Settlement Services International (SSI)</w:t>
            </w:r>
          </w:p>
        </w:tc>
        <w:tc>
          <w:tcPr>
            <w:tcW w:w="3402" w:type="dxa"/>
          </w:tcPr>
          <w:p w14:paraId="5D5BF216">
            <w:pPr>
              <w:spacing w:before="40" w:after="40" w:line="240" w:lineRule="auto"/>
            </w:pPr>
            <w:r>
              <w:rPr>
                <w:sz w:val="19"/>
              </w:rPr>
              <w:t>Women's Employment and Skills Pathways (WESP) — helps migrant women navigate skills and qualification recognition (including healthcare, engineering, teaching, social work)</w:t>
            </w:r>
          </w:p>
        </w:tc>
        <w:tc>
          <w:tcPr>
            <w:tcW w:w="2494" w:type="dxa"/>
            <w:gridSpan w:val="2"/>
          </w:tcPr>
          <w:p w14:paraId="2AB17322">
            <w:pPr>
              <w:spacing w:before="40" w:after="40" w:line="240" w:lineRule="auto"/>
            </w:pPr>
            <w:r>
              <w:rPr>
                <w:sz w:val="19"/>
              </w:rPr>
              <w:t>07 3412 8222; loganhub@ssi.org.au</w:t>
            </w:r>
          </w:p>
        </w:tc>
        <w:tc>
          <w:tcPr>
            <w:tcW w:w="1644" w:type="dxa"/>
          </w:tcPr>
          <w:p w14:paraId="196D9333">
            <w:pPr>
              <w:spacing w:before="40" w:after="40" w:line="240" w:lineRule="auto"/>
            </w:pPr>
            <w:r>
              <w:rPr>
                <w:sz w:val="19"/>
                <w:lang w:val="en-US"/>
              </w:rPr>
              <w:t>REQUIRES VERIFICATION</w:t>
            </w:r>
            <w:r>
              <w:rPr>
                <w:sz w:val="19"/>
              </w:rPr>
              <w:t xml:space="preserve"> — assists with recognition pathways; newly launched program</w:t>
            </w:r>
          </w:p>
        </w:tc>
      </w:tr>
      <w:tr w14:paraId="251A21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40" w:type="dxa"/>
            <w:left w:w="80" w:type="dxa"/>
            <w:bottom w:w="40" w:type="dxa"/>
            <w:right w:w="80" w:type="dxa"/>
          </w:tblCellMar>
        </w:tblPrEx>
        <w:trPr>
          <w:gridAfter w:val="1"/>
          <w:jc w:val="center"/>
        </w:trPr>
        <w:tc>
          <w:tcPr>
            <w:tcW w:w="2494" w:type="dxa"/>
            <w:shd w:val="clear" w:color="auto" w:fill="F5F9FC"/>
          </w:tcPr>
          <w:p w14:paraId="75C81785">
            <w:pPr>
              <w:spacing w:before="40" w:after="40" w:line="240" w:lineRule="auto"/>
            </w:pPr>
            <w:r>
              <w:rPr>
                <w:sz w:val="19"/>
              </w:rPr>
              <w:t>SSI — Inclusive Employment Australia</w:t>
            </w:r>
          </w:p>
        </w:tc>
        <w:tc>
          <w:tcPr>
            <w:tcW w:w="3402" w:type="dxa"/>
          </w:tcPr>
          <w:p w14:paraId="43BF94CA">
            <w:pPr>
              <w:spacing w:before="40" w:after="40" w:line="240" w:lineRule="auto"/>
            </w:pPr>
            <w:r>
              <w:rPr>
                <w:sz w:val="19"/>
              </w:rPr>
              <w:t>Employment support including overseas qualification recognition for refugees with disability/injury/health condition</w:t>
            </w:r>
          </w:p>
        </w:tc>
        <w:tc>
          <w:tcPr>
            <w:tcW w:w="2494" w:type="dxa"/>
            <w:gridSpan w:val="2"/>
          </w:tcPr>
          <w:p w14:paraId="4ED1E64E">
            <w:pPr>
              <w:spacing w:before="40" w:after="40" w:line="240" w:lineRule="auto"/>
            </w:pPr>
            <w:r>
              <w:rPr>
                <w:sz w:val="19"/>
              </w:rPr>
              <w:t>1800 299 487; iea.qld@ssi.org.au</w:t>
            </w:r>
          </w:p>
        </w:tc>
        <w:tc>
          <w:tcPr>
            <w:tcW w:w="1644" w:type="dxa"/>
          </w:tcPr>
          <w:p w14:paraId="7446CA8D">
            <w:pPr>
              <w:spacing w:before="40" w:after="40" w:line="240" w:lineRule="auto"/>
            </w:pPr>
            <w:r>
              <w:rPr>
                <w:sz w:val="19"/>
                <w:lang w:val="en-US"/>
              </w:rPr>
              <w:t>REQUIRES VERIFICATION</w:t>
            </w:r>
            <w:r>
              <w:rPr>
                <w:sz w:val="19"/>
              </w:rPr>
              <w:t xml:space="preserve"> — narrow eligibility; not a general OQU service</w:t>
            </w:r>
          </w:p>
        </w:tc>
      </w:tr>
      <w:tr w14:paraId="3E6614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40" w:type="dxa"/>
            <w:left w:w="80" w:type="dxa"/>
            <w:bottom w:w="40" w:type="dxa"/>
            <w:right w:w="80" w:type="dxa"/>
          </w:tblCellMar>
        </w:tblPrEx>
        <w:trPr>
          <w:gridAfter w:val="1"/>
          <w:jc w:val="center"/>
        </w:trPr>
        <w:tc>
          <w:tcPr>
            <w:tcW w:w="2494" w:type="dxa"/>
            <w:shd w:val="clear" w:color="auto" w:fill="F5F9FC"/>
          </w:tcPr>
          <w:p w14:paraId="4D8EB994">
            <w:pPr>
              <w:spacing w:before="40" w:after="40" w:line="240" w:lineRule="auto"/>
            </w:pPr>
            <w:r>
              <w:rPr>
                <w:sz w:val="19"/>
              </w:rPr>
              <w:t>Ethnic Communities Council of Queensland (ECCQ)</w:t>
            </w:r>
          </w:p>
        </w:tc>
        <w:tc>
          <w:tcPr>
            <w:tcW w:w="3402" w:type="dxa"/>
          </w:tcPr>
          <w:p w14:paraId="6652A521">
            <w:pPr>
              <w:spacing w:before="40" w:after="40" w:line="240" w:lineRule="auto"/>
            </w:pPr>
            <w:r>
              <w:rPr>
                <w:sz w:val="19"/>
              </w:rPr>
              <w:t>Building Australian Skills for Employment (BASE) — skills/qualification recognition, Australian workplace experience, employment support for qualified migrants in the Brisbane South area</w:t>
            </w:r>
          </w:p>
        </w:tc>
        <w:tc>
          <w:tcPr>
            <w:tcW w:w="2494" w:type="dxa"/>
            <w:gridSpan w:val="2"/>
          </w:tcPr>
          <w:p w14:paraId="1925B8D9">
            <w:pPr>
              <w:spacing w:before="40" w:after="40" w:line="240" w:lineRule="auto"/>
            </w:pPr>
            <w:r>
              <w:rPr>
                <w:sz w:val="19"/>
              </w:rPr>
              <w:t>0426 290 038; skillingforwork@eccq.com.au; eccq.com.au</w:t>
            </w:r>
          </w:p>
        </w:tc>
        <w:tc>
          <w:tcPr>
            <w:tcW w:w="1644" w:type="dxa"/>
          </w:tcPr>
          <w:p w14:paraId="0A73DD07">
            <w:pPr>
              <w:spacing w:before="40" w:after="40" w:line="240" w:lineRule="auto"/>
            </w:pPr>
            <w:r>
              <w:rPr>
                <w:sz w:val="19"/>
                <w:lang w:val="en-US"/>
              </w:rPr>
              <w:t>REQUIRES VERIFICATION</w:t>
            </w:r>
            <w:r>
              <w:rPr>
                <w:sz w:val="19"/>
              </w:rPr>
              <w:t xml:space="preserve"> — assists with recognition pathways</w:t>
            </w:r>
          </w:p>
        </w:tc>
      </w:tr>
    </w:tbl>
    <w:p w14:paraId="27A81B43">
      <w:pPr>
        <w:pStyle w:val="3"/>
      </w:pPr>
      <w:r>
        <w:rPr>
          <w:color w:val="0066CC"/>
        </w:rPr>
        <w:t>10.5 Community Action for a Multicultural Society (CAMS)</w:t>
      </w:r>
    </w:p>
    <w:p w14:paraId="600B9FD5">
      <w:pPr>
        <w:spacing w:before="0" w:after="120"/>
      </w:pPr>
      <w:r>
        <w:rPr>
          <w:b w:val="0"/>
          <w:i w:val="0"/>
          <w:sz w:val="21"/>
        </w:rPr>
        <w:t>Community Action for a Multicultural Society (CAMS) is a Queensland Government (Department of Communities) funded program supporting community inclusion activities for culturally diverse communities. CAMS providers in the Brisbane South East region identified in the environmental scan include:</w:t>
      </w:r>
    </w:p>
    <w:tbl>
      <w:tblPr>
        <w:tblStyle w:val="35"/>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0" w:type="dxa"/>
          <w:left w:w="80" w:type="dxa"/>
          <w:bottom w:w="40" w:type="dxa"/>
          <w:right w:w="80" w:type="dxa"/>
        </w:tblCellMar>
      </w:tblPr>
      <w:tblGrid>
        <w:gridCol w:w="2409"/>
        <w:gridCol w:w="2409"/>
        <w:gridCol w:w="2409"/>
        <w:gridCol w:w="2409"/>
      </w:tblGrid>
      <w:tr w14:paraId="05DB31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40" w:type="dxa"/>
            <w:left w:w="80" w:type="dxa"/>
            <w:bottom w:w="40" w:type="dxa"/>
            <w:right w:w="80" w:type="dxa"/>
          </w:tblCellMar>
        </w:tblPrEx>
        <w:trPr>
          <w:tblHeader/>
          <w:jc w:val="center"/>
        </w:trPr>
        <w:tc>
          <w:tcPr>
            <w:tcW w:w="2608" w:type="dxa"/>
            <w:shd w:val="clear" w:color="auto" w:fill="002B49"/>
          </w:tcPr>
          <w:p w14:paraId="318CFBDC">
            <w:pPr>
              <w:spacing w:before="40" w:after="40" w:line="240" w:lineRule="auto"/>
            </w:pPr>
            <w:r>
              <w:rPr>
                <w:b/>
                <w:color w:val="FFFFFF"/>
                <w:sz w:val="19"/>
              </w:rPr>
              <w:t>CAMS provider</w:t>
            </w:r>
          </w:p>
        </w:tc>
        <w:tc>
          <w:tcPr>
            <w:tcW w:w="2154" w:type="dxa"/>
            <w:shd w:val="clear" w:color="auto" w:fill="002B49"/>
          </w:tcPr>
          <w:p w14:paraId="53918146">
            <w:pPr>
              <w:spacing w:before="40" w:after="40" w:line="240" w:lineRule="auto"/>
            </w:pPr>
            <w:r>
              <w:rPr>
                <w:b/>
                <w:color w:val="FFFFFF"/>
                <w:sz w:val="19"/>
              </w:rPr>
              <w:t>Program area</w:t>
            </w:r>
          </w:p>
        </w:tc>
        <w:tc>
          <w:tcPr>
            <w:tcW w:w="3515" w:type="dxa"/>
            <w:shd w:val="clear" w:color="auto" w:fill="002B49"/>
          </w:tcPr>
          <w:p w14:paraId="7DDF848E">
            <w:pPr>
              <w:spacing w:before="40" w:after="40" w:line="240" w:lineRule="auto"/>
            </w:pPr>
            <w:r>
              <w:rPr>
                <w:b/>
                <w:color w:val="FFFFFF"/>
                <w:sz w:val="19"/>
              </w:rPr>
              <w:t>Address / contact</w:t>
            </w:r>
          </w:p>
        </w:tc>
        <w:tc>
          <w:tcPr>
            <w:tcW w:w="1531" w:type="dxa"/>
            <w:shd w:val="clear" w:color="auto" w:fill="002B49"/>
          </w:tcPr>
          <w:p w14:paraId="4FC65A9C">
            <w:pPr>
              <w:spacing w:before="40" w:after="40" w:line="240" w:lineRule="auto"/>
            </w:pPr>
            <w:r>
              <w:rPr>
                <w:b/>
                <w:color w:val="FFFFFF"/>
                <w:sz w:val="19"/>
              </w:rPr>
              <w:t>Status</w:t>
            </w:r>
          </w:p>
        </w:tc>
      </w:tr>
      <w:tr w14:paraId="3C2ABC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40" w:type="dxa"/>
            <w:left w:w="80" w:type="dxa"/>
            <w:bottom w:w="40" w:type="dxa"/>
            <w:right w:w="80" w:type="dxa"/>
          </w:tblCellMar>
        </w:tblPrEx>
        <w:trPr>
          <w:jc w:val="center"/>
        </w:trPr>
        <w:tc>
          <w:tcPr>
            <w:tcW w:w="2608" w:type="dxa"/>
            <w:shd w:val="clear" w:color="auto" w:fill="F5F9FC"/>
          </w:tcPr>
          <w:p w14:paraId="557E0DC6">
            <w:pPr>
              <w:spacing w:before="40" w:after="40" w:line="240" w:lineRule="auto"/>
            </w:pPr>
            <w:r>
              <w:rPr>
                <w:sz w:val="19"/>
              </w:rPr>
              <w:t>IWA Australia (Islamic Women's Association of Australia)</w:t>
            </w:r>
          </w:p>
        </w:tc>
        <w:tc>
          <w:tcPr>
            <w:tcW w:w="2154" w:type="dxa"/>
          </w:tcPr>
          <w:p w14:paraId="7579A9AD">
            <w:pPr>
              <w:spacing w:before="40" w:after="40" w:line="240" w:lineRule="auto"/>
            </w:pPr>
            <w:r>
              <w:rPr>
                <w:sz w:val="19"/>
              </w:rPr>
              <w:t>CAMS — Brisbane South</w:t>
            </w:r>
          </w:p>
        </w:tc>
        <w:tc>
          <w:tcPr>
            <w:tcW w:w="3515" w:type="dxa"/>
          </w:tcPr>
          <w:p w14:paraId="11331C9E">
            <w:pPr>
              <w:spacing w:before="40" w:after="40" w:line="240" w:lineRule="auto"/>
            </w:pPr>
            <w:r>
              <w:rPr>
                <w:sz w:val="19"/>
              </w:rPr>
              <w:t>11 Watland Street, Springwood QLD 4127; 07 3208 6333; admin@iwaa.org.au; iwaa.org.au</w:t>
            </w:r>
          </w:p>
        </w:tc>
        <w:tc>
          <w:tcPr>
            <w:tcW w:w="1531" w:type="dxa"/>
          </w:tcPr>
          <w:p w14:paraId="25A54145">
            <w:pPr>
              <w:spacing w:before="40" w:after="40" w:line="240" w:lineRule="auto"/>
            </w:pPr>
            <w:r>
              <w:rPr>
                <w:sz w:val="19"/>
                <w:lang w:val="en-US"/>
              </w:rPr>
              <w:t>REQUIRES VERIFICATION</w:t>
            </w:r>
            <w:r>
              <w:rPr>
                <w:sz w:val="19"/>
              </w:rPr>
              <w:t xml:space="preserve"> — listed CAMS provider</w:t>
            </w:r>
          </w:p>
        </w:tc>
      </w:tr>
      <w:tr w14:paraId="502575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40" w:type="dxa"/>
            <w:left w:w="80" w:type="dxa"/>
            <w:bottom w:w="40" w:type="dxa"/>
            <w:right w:w="80" w:type="dxa"/>
          </w:tblCellMar>
        </w:tblPrEx>
        <w:trPr>
          <w:jc w:val="center"/>
        </w:trPr>
        <w:tc>
          <w:tcPr>
            <w:tcW w:w="2608" w:type="dxa"/>
            <w:shd w:val="clear" w:color="auto" w:fill="F5F9FC"/>
          </w:tcPr>
          <w:p w14:paraId="70511BA8">
            <w:pPr>
              <w:spacing w:before="40" w:after="40" w:line="240" w:lineRule="auto"/>
            </w:pPr>
            <w:r>
              <w:rPr>
                <w:sz w:val="19"/>
              </w:rPr>
              <w:t>Settlement Services International (SSI) / ACCESS Community Services</w:t>
            </w:r>
          </w:p>
        </w:tc>
        <w:tc>
          <w:tcPr>
            <w:tcW w:w="2154" w:type="dxa"/>
          </w:tcPr>
          <w:p w14:paraId="333288D0">
            <w:pPr>
              <w:spacing w:before="40" w:after="40" w:line="240" w:lineRule="auto"/>
            </w:pPr>
            <w:r>
              <w:rPr>
                <w:sz w:val="19"/>
              </w:rPr>
              <w:t>CAMS — Logan Central, Woodridge, Yarrabilba and Kingston</w:t>
            </w:r>
          </w:p>
        </w:tc>
        <w:tc>
          <w:tcPr>
            <w:tcW w:w="3515" w:type="dxa"/>
          </w:tcPr>
          <w:p w14:paraId="7E299796">
            <w:pPr>
              <w:spacing w:before="40" w:after="40" w:line="240" w:lineRule="auto"/>
            </w:pPr>
            <w:r>
              <w:rPr>
                <w:sz w:val="19"/>
              </w:rPr>
              <w:t>SSI Logan Central Office, 92 Wembley Road, Logan Central QLD 4114; 07 3412 8222; info@ssi.org.au</w:t>
            </w:r>
          </w:p>
        </w:tc>
        <w:tc>
          <w:tcPr>
            <w:tcW w:w="1531" w:type="dxa"/>
          </w:tcPr>
          <w:p w14:paraId="0094210C">
            <w:pPr>
              <w:spacing w:before="40" w:after="40" w:line="240" w:lineRule="auto"/>
            </w:pPr>
            <w:r>
              <w:rPr>
                <w:sz w:val="19"/>
                <w:lang w:val="en-US"/>
              </w:rPr>
              <w:t>REQUIRES VERIFICATION</w:t>
            </w:r>
            <w:r>
              <w:rPr>
                <w:sz w:val="19"/>
              </w:rPr>
              <w:t xml:space="preserve"> — listed CAMS provider</w:t>
            </w:r>
          </w:p>
        </w:tc>
      </w:tr>
      <w:tr w14:paraId="4795FE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40" w:type="dxa"/>
            <w:left w:w="80" w:type="dxa"/>
            <w:bottom w:w="40" w:type="dxa"/>
            <w:right w:w="80" w:type="dxa"/>
          </w:tblCellMar>
        </w:tblPrEx>
        <w:trPr>
          <w:jc w:val="center"/>
        </w:trPr>
        <w:tc>
          <w:tcPr>
            <w:tcW w:w="2608" w:type="dxa"/>
            <w:shd w:val="clear" w:color="auto" w:fill="F5F9FC"/>
          </w:tcPr>
          <w:p w14:paraId="381651C6">
            <w:pPr>
              <w:spacing w:before="40" w:after="40" w:line="240" w:lineRule="auto"/>
            </w:pPr>
            <w:r>
              <w:rPr>
                <w:sz w:val="19"/>
              </w:rPr>
              <w:t>MultiLink Community Services</w:t>
            </w:r>
          </w:p>
        </w:tc>
        <w:tc>
          <w:tcPr>
            <w:tcW w:w="2154" w:type="dxa"/>
          </w:tcPr>
          <w:p w14:paraId="5857EB9F">
            <w:pPr>
              <w:spacing w:before="40" w:after="40" w:line="240" w:lineRule="auto"/>
            </w:pPr>
            <w:r>
              <w:rPr>
                <w:sz w:val="19"/>
              </w:rPr>
              <w:t>CAMS — Logan Northern Suburbs</w:t>
            </w:r>
          </w:p>
        </w:tc>
        <w:tc>
          <w:tcPr>
            <w:tcW w:w="3515" w:type="dxa"/>
          </w:tcPr>
          <w:p w14:paraId="1DF7A2CE">
            <w:pPr>
              <w:spacing w:before="40" w:after="40" w:line="240" w:lineRule="auto"/>
            </w:pPr>
            <w:r>
              <w:rPr>
                <w:sz w:val="19"/>
              </w:rPr>
              <w:t>8 Blackwood Road, Logan Central QLD 4114; 07 3808 4463; reception@multilink.org.au</w:t>
            </w:r>
          </w:p>
        </w:tc>
        <w:tc>
          <w:tcPr>
            <w:tcW w:w="1531" w:type="dxa"/>
          </w:tcPr>
          <w:p w14:paraId="1F9419BD">
            <w:pPr>
              <w:spacing w:before="40" w:after="40" w:line="240" w:lineRule="auto"/>
            </w:pPr>
            <w:r>
              <w:rPr>
                <w:sz w:val="19"/>
                <w:lang w:val="en-US"/>
              </w:rPr>
              <w:t>REQUIRES VERIFICATION</w:t>
            </w:r>
            <w:r>
              <w:rPr>
                <w:sz w:val="19"/>
              </w:rPr>
              <w:t xml:space="preserve"> — listed CAMS provider</w:t>
            </w:r>
          </w:p>
        </w:tc>
      </w:tr>
      <w:tr w14:paraId="2160F7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40" w:type="dxa"/>
            <w:left w:w="80" w:type="dxa"/>
            <w:bottom w:w="40" w:type="dxa"/>
            <w:right w:w="80" w:type="dxa"/>
          </w:tblCellMar>
        </w:tblPrEx>
        <w:trPr>
          <w:jc w:val="center"/>
        </w:trPr>
        <w:tc>
          <w:tcPr>
            <w:tcW w:w="2608" w:type="dxa"/>
            <w:shd w:val="clear" w:color="auto" w:fill="F5F9FC"/>
          </w:tcPr>
          <w:p w14:paraId="07C291FA">
            <w:pPr>
              <w:spacing w:before="40" w:after="40" w:line="240" w:lineRule="auto"/>
            </w:pPr>
            <w:r>
              <w:rPr>
                <w:sz w:val="19"/>
              </w:rPr>
              <w:t>Settlement Services International (SSI)</w:t>
            </w:r>
          </w:p>
        </w:tc>
        <w:tc>
          <w:tcPr>
            <w:tcW w:w="2154" w:type="dxa"/>
          </w:tcPr>
          <w:p w14:paraId="023C4F2D">
            <w:pPr>
              <w:spacing w:before="40" w:after="40" w:line="240" w:lineRule="auto"/>
            </w:pPr>
            <w:r>
              <w:rPr>
                <w:sz w:val="19"/>
              </w:rPr>
              <w:t>CAMS — Redland</w:t>
            </w:r>
          </w:p>
        </w:tc>
        <w:tc>
          <w:tcPr>
            <w:tcW w:w="3515" w:type="dxa"/>
          </w:tcPr>
          <w:p w14:paraId="11F9BEA3">
            <w:pPr>
              <w:spacing w:before="40" w:after="40" w:line="240" w:lineRule="auto"/>
            </w:pPr>
            <w:r>
              <w:rPr>
                <w:sz w:val="19"/>
              </w:rPr>
              <w:t>07 3412 8222; info@ssi.org.au</w:t>
            </w:r>
          </w:p>
        </w:tc>
        <w:tc>
          <w:tcPr>
            <w:tcW w:w="1531" w:type="dxa"/>
          </w:tcPr>
          <w:p w14:paraId="09C4D920">
            <w:pPr>
              <w:spacing w:before="40" w:after="40" w:line="240" w:lineRule="auto"/>
            </w:pPr>
            <w:r>
              <w:rPr>
                <w:sz w:val="19"/>
                <w:lang w:val="en-US"/>
              </w:rPr>
              <w:t>REQUIRES VERIFICATION</w:t>
            </w:r>
            <w:r>
              <w:rPr>
                <w:sz w:val="19"/>
              </w:rPr>
              <w:t xml:space="preserve"> — listed CAMS provider; exact suburb/postcode boundaries not published</w:t>
            </w:r>
          </w:p>
        </w:tc>
      </w:tr>
      <w:tr w14:paraId="2072BB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40" w:type="dxa"/>
            <w:left w:w="80" w:type="dxa"/>
            <w:bottom w:w="40" w:type="dxa"/>
            <w:right w:w="80" w:type="dxa"/>
          </w:tblCellMar>
        </w:tblPrEx>
        <w:trPr>
          <w:jc w:val="center"/>
        </w:trPr>
        <w:tc>
          <w:tcPr>
            <w:tcW w:w="2608" w:type="dxa"/>
            <w:shd w:val="clear" w:color="auto" w:fill="F5F9FC"/>
          </w:tcPr>
          <w:p w14:paraId="14B3F680">
            <w:pPr>
              <w:spacing w:before="40" w:after="40" w:line="240" w:lineRule="auto"/>
            </w:pPr>
            <w:r>
              <w:rPr>
                <w:sz w:val="19"/>
              </w:rPr>
              <w:t>Neighbourhood Centre Caboolture Inc</w:t>
            </w:r>
          </w:p>
        </w:tc>
        <w:tc>
          <w:tcPr>
            <w:tcW w:w="2154" w:type="dxa"/>
          </w:tcPr>
          <w:p w14:paraId="40662080">
            <w:pPr>
              <w:spacing w:before="40" w:after="40" w:line="240" w:lineRule="auto"/>
            </w:pPr>
            <w:r>
              <w:rPr>
                <w:sz w:val="19"/>
              </w:rPr>
              <w:t>CAMS — Moreton Bay (peripheral to the region)</w:t>
            </w:r>
          </w:p>
        </w:tc>
        <w:tc>
          <w:tcPr>
            <w:tcW w:w="3515" w:type="dxa"/>
          </w:tcPr>
          <w:p w14:paraId="100A50D9">
            <w:pPr>
              <w:spacing w:before="40" w:after="40" w:line="240" w:lineRule="auto"/>
            </w:pPr>
            <w:r>
              <w:rPr>
                <w:sz w:val="19"/>
              </w:rPr>
              <w:t>9 George Street, Caboolture QLD 4510; 07 5495 3818</w:t>
            </w:r>
          </w:p>
        </w:tc>
        <w:tc>
          <w:tcPr>
            <w:tcW w:w="1531" w:type="dxa"/>
          </w:tcPr>
          <w:p w14:paraId="02CCA3F9">
            <w:pPr>
              <w:spacing w:before="40" w:after="40" w:line="240" w:lineRule="auto"/>
            </w:pPr>
            <w:r>
              <w:rPr>
                <w:sz w:val="19"/>
              </w:rPr>
              <w:t>REQUIRES VERIFICATION — relevant for Bribie Island (4025) only if provider confirms local access</w:t>
            </w:r>
          </w:p>
        </w:tc>
      </w:tr>
    </w:tbl>
    <w:p w14:paraId="761EC67F">
      <w:pPr>
        <w:pStyle w:val="3"/>
      </w:pPr>
      <w:r>
        <w:rPr>
          <w:color w:val="0066CC"/>
        </w:rPr>
        <w:t>10.6 National Community Hubs Program (School-Based Hubs)</w:t>
      </w:r>
    </w:p>
    <w:p w14:paraId="780741B2">
      <w:pPr>
        <w:spacing w:before="0" w:after="120"/>
      </w:pPr>
      <w:r>
        <w:rPr>
          <w:b w:val="0"/>
          <w:i w:val="0"/>
          <w:sz w:val="21"/>
        </w:rPr>
        <w:t>The National Community Hubs Program (NCHP) supports migrant, refugee and culturally diverse families connected with participating schools, providing welcoming school-based spaces with English practice, early childhood support, community activities and connections to services.</w:t>
      </w:r>
    </w:p>
    <w:tbl>
      <w:tblPr>
        <w:tblStyle w:val="35"/>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0" w:type="dxa"/>
          <w:left w:w="80" w:type="dxa"/>
          <w:bottom w:w="40" w:type="dxa"/>
          <w:right w:w="80" w:type="dxa"/>
        </w:tblCellMar>
      </w:tblPr>
      <w:tblGrid>
        <w:gridCol w:w="2409"/>
        <w:gridCol w:w="2409"/>
        <w:gridCol w:w="2409"/>
        <w:gridCol w:w="2409"/>
      </w:tblGrid>
      <w:tr w14:paraId="795B68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40" w:type="dxa"/>
            <w:left w:w="80" w:type="dxa"/>
            <w:bottom w:w="40" w:type="dxa"/>
            <w:right w:w="80" w:type="dxa"/>
          </w:tblCellMar>
        </w:tblPrEx>
        <w:trPr>
          <w:tblHeader/>
          <w:jc w:val="center"/>
        </w:trPr>
        <w:tc>
          <w:tcPr>
            <w:tcW w:w="2494" w:type="dxa"/>
            <w:shd w:val="clear" w:color="auto" w:fill="002B49"/>
          </w:tcPr>
          <w:p w14:paraId="6E30449E">
            <w:pPr>
              <w:spacing w:before="40" w:after="40" w:line="240" w:lineRule="auto"/>
            </w:pPr>
            <w:r>
              <w:rPr>
                <w:b/>
                <w:color w:val="FFFFFF"/>
                <w:sz w:val="19"/>
              </w:rPr>
              <w:t>Hub / organisation</w:t>
            </w:r>
          </w:p>
        </w:tc>
        <w:tc>
          <w:tcPr>
            <w:tcW w:w="2948" w:type="dxa"/>
            <w:shd w:val="clear" w:color="auto" w:fill="002B49"/>
          </w:tcPr>
          <w:p w14:paraId="14E970EF">
            <w:pPr>
              <w:spacing w:before="40" w:after="40" w:line="240" w:lineRule="auto"/>
            </w:pPr>
            <w:r>
              <w:rPr>
                <w:b/>
                <w:color w:val="FFFFFF"/>
                <w:sz w:val="19"/>
              </w:rPr>
              <w:t>Location</w:t>
            </w:r>
          </w:p>
        </w:tc>
        <w:tc>
          <w:tcPr>
            <w:tcW w:w="2835" w:type="dxa"/>
            <w:shd w:val="clear" w:color="auto" w:fill="002B49"/>
          </w:tcPr>
          <w:p w14:paraId="6E25462C">
            <w:pPr>
              <w:spacing w:before="40" w:after="40" w:line="240" w:lineRule="auto"/>
            </w:pPr>
            <w:r>
              <w:rPr>
                <w:b/>
                <w:color w:val="FFFFFF"/>
                <w:sz w:val="19"/>
              </w:rPr>
              <w:t>Contact</w:t>
            </w:r>
          </w:p>
        </w:tc>
        <w:tc>
          <w:tcPr>
            <w:tcW w:w="1531" w:type="dxa"/>
            <w:shd w:val="clear" w:color="auto" w:fill="002B49"/>
          </w:tcPr>
          <w:p w14:paraId="03967D31">
            <w:pPr>
              <w:spacing w:before="40" w:after="40" w:line="240" w:lineRule="auto"/>
            </w:pPr>
            <w:r>
              <w:rPr>
                <w:b/>
                <w:color w:val="FFFFFF"/>
                <w:sz w:val="19"/>
              </w:rPr>
              <w:t>Status</w:t>
            </w:r>
          </w:p>
        </w:tc>
      </w:tr>
      <w:tr w14:paraId="22B9FA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40" w:type="dxa"/>
            <w:left w:w="80" w:type="dxa"/>
            <w:bottom w:w="40" w:type="dxa"/>
            <w:right w:w="80" w:type="dxa"/>
          </w:tblCellMar>
        </w:tblPrEx>
        <w:trPr>
          <w:jc w:val="center"/>
        </w:trPr>
        <w:tc>
          <w:tcPr>
            <w:tcW w:w="2494" w:type="dxa"/>
            <w:shd w:val="clear" w:color="auto" w:fill="F5F9FC"/>
          </w:tcPr>
          <w:p w14:paraId="05ACCD38">
            <w:pPr>
              <w:spacing w:before="40" w:after="40" w:line="240" w:lineRule="auto"/>
            </w:pPr>
            <w:r>
              <w:rPr>
                <w:sz w:val="19"/>
              </w:rPr>
              <w:t>Community Hubs Australia (NCHP network manager)</w:t>
            </w:r>
          </w:p>
        </w:tc>
        <w:tc>
          <w:tcPr>
            <w:tcW w:w="2948" w:type="dxa"/>
          </w:tcPr>
          <w:p w14:paraId="60AB1A6A">
            <w:pPr>
              <w:spacing w:before="40" w:after="40" w:line="240" w:lineRule="auto"/>
            </w:pPr>
            <w:r>
              <w:rPr>
                <w:sz w:val="19"/>
              </w:rPr>
              <w:t>National; Queensland hubs include Brisbane and Logan</w:t>
            </w:r>
          </w:p>
        </w:tc>
        <w:tc>
          <w:tcPr>
            <w:tcW w:w="2835" w:type="dxa"/>
          </w:tcPr>
          <w:p w14:paraId="452070FC">
            <w:pPr>
              <w:spacing w:before="40" w:after="40" w:line="240" w:lineRule="auto"/>
            </w:pPr>
            <w:r>
              <w:rPr>
                <w:sz w:val="19"/>
              </w:rPr>
              <w:t>1300 855 892; info@communityhubs.org.au; communityhubs.org.au</w:t>
            </w:r>
          </w:p>
        </w:tc>
        <w:tc>
          <w:tcPr>
            <w:tcW w:w="1531" w:type="dxa"/>
          </w:tcPr>
          <w:p w14:paraId="60A9170C">
            <w:pPr>
              <w:spacing w:before="40" w:after="40" w:line="240" w:lineRule="auto"/>
            </w:pPr>
            <w:r>
              <w:rPr>
                <w:sz w:val="19"/>
                <w:lang w:val="en-US"/>
              </w:rPr>
              <w:t>REQUIRES VERIFICATION</w:t>
            </w:r>
            <w:r>
              <w:rPr>
                <w:sz w:val="19"/>
              </w:rPr>
              <w:t xml:space="preserve"> — manages the NCHP network (activities delivered through schools and hub partners)</w:t>
            </w:r>
          </w:p>
        </w:tc>
      </w:tr>
      <w:tr w14:paraId="70721E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40" w:type="dxa"/>
            <w:left w:w="80" w:type="dxa"/>
            <w:bottom w:w="40" w:type="dxa"/>
            <w:right w:w="80" w:type="dxa"/>
          </w:tblCellMar>
        </w:tblPrEx>
        <w:trPr>
          <w:jc w:val="center"/>
        </w:trPr>
        <w:tc>
          <w:tcPr>
            <w:tcW w:w="2494" w:type="dxa"/>
            <w:shd w:val="clear" w:color="auto" w:fill="F5F9FC"/>
          </w:tcPr>
          <w:p w14:paraId="1F5BA62B">
            <w:pPr>
              <w:spacing w:before="40" w:after="40" w:line="240" w:lineRule="auto"/>
            </w:pPr>
            <w:r>
              <w:rPr>
                <w:sz w:val="19"/>
              </w:rPr>
              <w:t>SSI — Community Hubs Program Queensland</w:t>
            </w:r>
          </w:p>
        </w:tc>
        <w:tc>
          <w:tcPr>
            <w:tcW w:w="2948" w:type="dxa"/>
          </w:tcPr>
          <w:p w14:paraId="40A936F4">
            <w:pPr>
              <w:spacing w:before="40" w:after="40" w:line="240" w:lineRule="auto"/>
            </w:pPr>
            <w:r>
              <w:rPr>
                <w:sz w:val="19"/>
              </w:rPr>
              <w:t>Logan school hubs (Marsden, St Francis College, St Paul's Catholic Primary School, Woodridge North State School, Woodridge State School); SSI Queensland office, 2 Carmody Street, Logan Central QLD 4114</w:t>
            </w:r>
          </w:p>
        </w:tc>
        <w:tc>
          <w:tcPr>
            <w:tcW w:w="2835" w:type="dxa"/>
          </w:tcPr>
          <w:p w14:paraId="54EC1519">
            <w:pPr>
              <w:spacing w:before="40" w:after="40" w:line="240" w:lineRule="auto"/>
            </w:pPr>
            <w:r>
              <w:rPr>
                <w:sz w:val="19"/>
              </w:rPr>
              <w:t>(02) 8799 6700; info@ssi.org.au</w:t>
            </w:r>
          </w:p>
        </w:tc>
        <w:tc>
          <w:tcPr>
            <w:tcW w:w="1531" w:type="dxa"/>
          </w:tcPr>
          <w:p w14:paraId="2D05077B">
            <w:pPr>
              <w:spacing w:before="40" w:after="40" w:line="240" w:lineRule="auto"/>
            </w:pPr>
            <w:r>
              <w:rPr>
                <w:sz w:val="19"/>
                <w:lang w:val="en-US"/>
              </w:rPr>
              <w:t>REQUIRES VERIFICATION</w:t>
            </w:r>
            <w:r>
              <w:rPr>
                <w:sz w:val="19"/>
              </w:rPr>
              <w:t xml:space="preserve"> — SSI listed as Queensland hub support agency</w:t>
            </w:r>
          </w:p>
        </w:tc>
      </w:tr>
      <w:tr w14:paraId="4F4C12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40" w:type="dxa"/>
            <w:left w:w="80" w:type="dxa"/>
            <w:bottom w:w="40" w:type="dxa"/>
            <w:right w:w="80" w:type="dxa"/>
          </w:tblCellMar>
        </w:tblPrEx>
        <w:trPr>
          <w:jc w:val="center"/>
        </w:trPr>
        <w:tc>
          <w:tcPr>
            <w:tcW w:w="2494" w:type="dxa"/>
            <w:shd w:val="clear" w:color="auto" w:fill="F5F9FC"/>
          </w:tcPr>
          <w:p w14:paraId="638F9AC9">
            <w:pPr>
              <w:spacing w:before="40" w:after="40" w:line="240" w:lineRule="auto"/>
            </w:pPr>
            <w:r>
              <w:rPr>
                <w:sz w:val="19"/>
              </w:rPr>
              <w:t>Marsden State School Community Hub</w:t>
            </w:r>
          </w:p>
        </w:tc>
        <w:tc>
          <w:tcPr>
            <w:tcW w:w="2948" w:type="dxa"/>
          </w:tcPr>
          <w:p w14:paraId="0B5873EB">
            <w:pPr>
              <w:spacing w:before="40" w:after="40" w:line="240" w:lineRule="auto"/>
            </w:pPr>
            <w:r>
              <w:rPr>
                <w:sz w:val="19"/>
              </w:rPr>
              <w:t>32 Hickory Street, Marsden QLD 4132</w:t>
            </w:r>
          </w:p>
        </w:tc>
        <w:tc>
          <w:tcPr>
            <w:tcW w:w="2835" w:type="dxa"/>
          </w:tcPr>
          <w:p w14:paraId="3EF06A1E">
            <w:pPr>
              <w:spacing w:before="40" w:after="40" w:line="240" w:lineRule="auto"/>
            </w:pPr>
            <w:r>
              <w:rPr>
                <w:sz w:val="19"/>
              </w:rPr>
              <w:t>(07) 3489 9333; marsdenss.eq.edu.au</w:t>
            </w:r>
          </w:p>
        </w:tc>
        <w:tc>
          <w:tcPr>
            <w:tcW w:w="1531" w:type="dxa"/>
          </w:tcPr>
          <w:p w14:paraId="24D55155">
            <w:pPr>
              <w:spacing w:before="40" w:after="40" w:line="240" w:lineRule="auto"/>
            </w:pPr>
            <w:r>
              <w:rPr>
                <w:sz w:val="19"/>
                <w:lang w:val="en-US"/>
              </w:rPr>
              <w:t>REQUIRES VERIFICATION</w:t>
            </w:r>
            <w:r>
              <w:rPr>
                <w:sz w:val="19"/>
              </w:rPr>
              <w:t xml:space="preserve"> — listed NCHP hub school</w:t>
            </w:r>
          </w:p>
        </w:tc>
      </w:tr>
      <w:tr w14:paraId="683DF6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40" w:type="dxa"/>
            <w:left w:w="80" w:type="dxa"/>
            <w:bottom w:w="40" w:type="dxa"/>
            <w:right w:w="80" w:type="dxa"/>
          </w:tblCellMar>
        </w:tblPrEx>
        <w:trPr>
          <w:jc w:val="center"/>
        </w:trPr>
        <w:tc>
          <w:tcPr>
            <w:tcW w:w="2494" w:type="dxa"/>
            <w:shd w:val="clear" w:color="auto" w:fill="F5F9FC"/>
          </w:tcPr>
          <w:p w14:paraId="34781318">
            <w:pPr>
              <w:spacing w:before="40" w:after="40" w:line="240" w:lineRule="auto"/>
            </w:pPr>
            <w:r>
              <w:rPr>
                <w:sz w:val="19"/>
              </w:rPr>
              <w:t>Woodridge North State School Community Hub</w:t>
            </w:r>
          </w:p>
        </w:tc>
        <w:tc>
          <w:tcPr>
            <w:tcW w:w="2948" w:type="dxa"/>
          </w:tcPr>
          <w:p w14:paraId="2E78C294">
            <w:pPr>
              <w:spacing w:before="40" w:after="40" w:line="240" w:lineRule="auto"/>
            </w:pPr>
            <w:r>
              <w:rPr>
                <w:sz w:val="19"/>
              </w:rPr>
              <w:t>Arthur Street, Woodridge QLD 4114</w:t>
            </w:r>
          </w:p>
        </w:tc>
        <w:tc>
          <w:tcPr>
            <w:tcW w:w="2835" w:type="dxa"/>
          </w:tcPr>
          <w:p w14:paraId="6CC91EAF">
            <w:pPr>
              <w:spacing w:before="40" w:after="40" w:line="240" w:lineRule="auto"/>
            </w:pPr>
            <w:r>
              <w:rPr>
                <w:sz w:val="19"/>
              </w:rPr>
              <w:t>(07) 3380 6333; woodridgenorthss.eq.edu.au</w:t>
            </w:r>
          </w:p>
        </w:tc>
        <w:tc>
          <w:tcPr>
            <w:tcW w:w="1531" w:type="dxa"/>
          </w:tcPr>
          <w:p w14:paraId="72A8F1D0">
            <w:pPr>
              <w:spacing w:before="40" w:after="40" w:line="240" w:lineRule="auto"/>
            </w:pPr>
            <w:r>
              <w:rPr>
                <w:sz w:val="19"/>
                <w:lang w:val="en-US"/>
              </w:rPr>
              <w:t>REQUIRES VERIFICATION</w:t>
            </w:r>
            <w:r>
              <w:rPr>
                <w:sz w:val="19"/>
              </w:rPr>
              <w:t xml:space="preserve"> — listed NCHP hub school</w:t>
            </w:r>
          </w:p>
        </w:tc>
      </w:tr>
      <w:tr w14:paraId="23C0E0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40" w:type="dxa"/>
            <w:left w:w="80" w:type="dxa"/>
            <w:bottom w:w="40" w:type="dxa"/>
            <w:right w:w="80" w:type="dxa"/>
          </w:tblCellMar>
        </w:tblPrEx>
        <w:trPr>
          <w:jc w:val="center"/>
        </w:trPr>
        <w:tc>
          <w:tcPr>
            <w:tcW w:w="2494" w:type="dxa"/>
            <w:shd w:val="clear" w:color="auto" w:fill="F5F9FC"/>
          </w:tcPr>
          <w:p w14:paraId="6F4B1DC9">
            <w:pPr>
              <w:spacing w:before="40" w:after="40" w:line="240" w:lineRule="auto"/>
            </w:pPr>
            <w:r>
              <w:rPr>
                <w:sz w:val="19"/>
              </w:rPr>
              <w:t>Woodridge State School Community Hub</w:t>
            </w:r>
          </w:p>
        </w:tc>
        <w:tc>
          <w:tcPr>
            <w:tcW w:w="2948" w:type="dxa"/>
          </w:tcPr>
          <w:p w14:paraId="63929B92">
            <w:pPr>
              <w:spacing w:before="40" w:after="40" w:line="240" w:lineRule="auto"/>
            </w:pPr>
            <w:r>
              <w:rPr>
                <w:sz w:val="19"/>
              </w:rPr>
              <w:t>113–131 Wembley Road (cnr Wembley Road and Railway Parade), Logan Central QLD 4114</w:t>
            </w:r>
          </w:p>
        </w:tc>
        <w:tc>
          <w:tcPr>
            <w:tcW w:w="2835" w:type="dxa"/>
          </w:tcPr>
          <w:p w14:paraId="23798702">
            <w:pPr>
              <w:spacing w:before="40" w:after="40" w:line="240" w:lineRule="auto"/>
            </w:pPr>
            <w:r>
              <w:rPr>
                <w:sz w:val="19"/>
              </w:rPr>
              <w:t>(07) 3440 2333; woodridgess.eq.edu.au</w:t>
            </w:r>
          </w:p>
        </w:tc>
        <w:tc>
          <w:tcPr>
            <w:tcW w:w="1531" w:type="dxa"/>
          </w:tcPr>
          <w:p w14:paraId="41A3EFFF">
            <w:pPr>
              <w:spacing w:before="40" w:after="40" w:line="240" w:lineRule="auto"/>
            </w:pPr>
            <w:r>
              <w:rPr>
                <w:sz w:val="19"/>
                <w:lang w:val="en-US"/>
              </w:rPr>
              <w:t>REQUIRES VERIFICATION</w:t>
            </w:r>
            <w:r>
              <w:rPr>
                <w:sz w:val="19"/>
              </w:rPr>
              <w:t xml:space="preserve"> — listed NCHP hub school</w:t>
            </w:r>
          </w:p>
        </w:tc>
      </w:tr>
      <w:tr w14:paraId="4E58E7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40" w:type="dxa"/>
            <w:left w:w="80" w:type="dxa"/>
            <w:bottom w:w="40" w:type="dxa"/>
            <w:right w:w="80" w:type="dxa"/>
          </w:tblCellMar>
        </w:tblPrEx>
        <w:trPr>
          <w:jc w:val="center"/>
        </w:trPr>
        <w:tc>
          <w:tcPr>
            <w:tcW w:w="2494" w:type="dxa"/>
            <w:shd w:val="clear" w:color="auto" w:fill="F5F9FC"/>
          </w:tcPr>
          <w:p w14:paraId="35543B12">
            <w:pPr>
              <w:spacing w:before="40" w:after="40" w:line="240" w:lineRule="auto"/>
            </w:pPr>
            <w:r>
              <w:rPr>
                <w:sz w:val="19"/>
              </w:rPr>
              <w:t>St Francis College Community Hub</w:t>
            </w:r>
          </w:p>
        </w:tc>
        <w:tc>
          <w:tcPr>
            <w:tcW w:w="2948" w:type="dxa"/>
          </w:tcPr>
          <w:p w14:paraId="3E7C564D">
            <w:pPr>
              <w:spacing w:before="40" w:after="40" w:line="240" w:lineRule="auto"/>
            </w:pPr>
            <w:r>
              <w:rPr>
                <w:sz w:val="19"/>
              </w:rPr>
              <w:t>64 Julie Street, Crestmead QLD 4132</w:t>
            </w:r>
          </w:p>
        </w:tc>
        <w:tc>
          <w:tcPr>
            <w:tcW w:w="2835" w:type="dxa"/>
          </w:tcPr>
          <w:p w14:paraId="655B0454">
            <w:pPr>
              <w:spacing w:before="40" w:after="40" w:line="240" w:lineRule="auto"/>
            </w:pPr>
            <w:r>
              <w:rPr>
                <w:sz w:val="19"/>
              </w:rPr>
              <w:t>(07) 3489 4800; sfcc.qld.edu.au</w:t>
            </w:r>
          </w:p>
        </w:tc>
        <w:tc>
          <w:tcPr>
            <w:tcW w:w="1531" w:type="dxa"/>
          </w:tcPr>
          <w:p w14:paraId="7A470DC7">
            <w:pPr>
              <w:spacing w:before="40" w:after="40" w:line="240" w:lineRule="auto"/>
            </w:pPr>
            <w:r>
              <w:rPr>
                <w:sz w:val="19"/>
                <w:lang w:val="en-US"/>
              </w:rPr>
              <w:t>REQUIRES VERIFICATION</w:t>
            </w:r>
            <w:r>
              <w:rPr>
                <w:sz w:val="19"/>
              </w:rPr>
              <w:t xml:space="preserve"> — listed NCHP hub school</w:t>
            </w:r>
          </w:p>
        </w:tc>
      </w:tr>
      <w:tr w14:paraId="5D2771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40" w:type="dxa"/>
            <w:left w:w="80" w:type="dxa"/>
            <w:bottom w:w="40" w:type="dxa"/>
            <w:right w:w="80" w:type="dxa"/>
          </w:tblCellMar>
        </w:tblPrEx>
        <w:trPr>
          <w:jc w:val="center"/>
        </w:trPr>
        <w:tc>
          <w:tcPr>
            <w:tcW w:w="2494" w:type="dxa"/>
            <w:shd w:val="clear" w:color="auto" w:fill="F5F9FC"/>
          </w:tcPr>
          <w:p w14:paraId="072C5F85">
            <w:pPr>
              <w:spacing w:before="40" w:after="40" w:line="240" w:lineRule="auto"/>
            </w:pPr>
            <w:r>
              <w:rPr>
                <w:sz w:val="19"/>
              </w:rPr>
              <w:t>St Paul's Catholic Primary School Community Hub</w:t>
            </w:r>
          </w:p>
        </w:tc>
        <w:tc>
          <w:tcPr>
            <w:tcW w:w="2948" w:type="dxa"/>
          </w:tcPr>
          <w:p w14:paraId="5D394B56">
            <w:pPr>
              <w:spacing w:before="40" w:after="40" w:line="240" w:lineRule="auto"/>
            </w:pPr>
            <w:r>
              <w:rPr>
                <w:sz w:val="19"/>
              </w:rPr>
              <w:t>3 St Paul's Drive, Woodridge QLD 4114</w:t>
            </w:r>
          </w:p>
        </w:tc>
        <w:tc>
          <w:tcPr>
            <w:tcW w:w="2835" w:type="dxa"/>
          </w:tcPr>
          <w:p w14:paraId="04B64A9E">
            <w:pPr>
              <w:spacing w:before="40" w:after="40" w:line="240" w:lineRule="auto"/>
            </w:pPr>
            <w:r>
              <w:rPr>
                <w:sz w:val="19"/>
              </w:rPr>
              <w:t>(07) 3208 2868; stpaulswoodridge.qld.edu.au</w:t>
            </w:r>
          </w:p>
        </w:tc>
        <w:tc>
          <w:tcPr>
            <w:tcW w:w="1531" w:type="dxa"/>
          </w:tcPr>
          <w:p w14:paraId="3C71A6B0">
            <w:pPr>
              <w:spacing w:before="40" w:after="40" w:line="240" w:lineRule="auto"/>
            </w:pPr>
            <w:r>
              <w:rPr>
                <w:sz w:val="19"/>
                <w:lang w:val="en-US"/>
              </w:rPr>
              <w:t>REQUIRES VERIFICATION</w:t>
            </w:r>
            <w:r>
              <w:rPr>
                <w:sz w:val="19"/>
              </w:rPr>
              <w:t xml:space="preserve"> — listed NCHP hub school</w:t>
            </w:r>
          </w:p>
        </w:tc>
      </w:tr>
    </w:tbl>
    <w:p w14:paraId="2C0D0F00">
      <w:pPr>
        <w:pStyle w:val="3"/>
      </w:pPr>
      <w:r>
        <w:rPr>
          <w:color w:val="0066CC"/>
        </w:rPr>
        <w:t>10.7 Parent Pathways Providers in the Region (Queensland delivery)</w:t>
      </w:r>
    </w:p>
    <w:p w14:paraId="7945C22E">
      <w:pPr>
        <w:spacing w:before="0" w:after="120"/>
      </w:pPr>
      <w:r>
        <w:rPr>
          <w:b w:val="0"/>
          <w:i w:val="0"/>
          <w:sz w:val="21"/>
        </w:rPr>
        <w:t>Parent Pathways providers identified in the Brisbane South East environmental scan (see also Section 5.11 for program details):</w:t>
      </w:r>
    </w:p>
    <w:tbl>
      <w:tblPr>
        <w:tblStyle w:val="35"/>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0" w:type="dxa"/>
          <w:left w:w="80" w:type="dxa"/>
          <w:bottom w:w="40" w:type="dxa"/>
          <w:right w:w="80" w:type="dxa"/>
        </w:tblCellMar>
      </w:tblPr>
      <w:tblGrid>
        <w:gridCol w:w="2409"/>
        <w:gridCol w:w="2409"/>
        <w:gridCol w:w="2409"/>
        <w:gridCol w:w="2409"/>
      </w:tblGrid>
      <w:tr w14:paraId="27FDA7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40" w:type="dxa"/>
            <w:left w:w="80" w:type="dxa"/>
            <w:bottom w:w="40" w:type="dxa"/>
            <w:right w:w="80" w:type="dxa"/>
          </w:tblCellMar>
        </w:tblPrEx>
        <w:trPr>
          <w:tblHeader/>
          <w:jc w:val="center"/>
        </w:trPr>
        <w:tc>
          <w:tcPr>
            <w:tcW w:w="2608" w:type="dxa"/>
            <w:shd w:val="clear" w:color="auto" w:fill="002B49"/>
          </w:tcPr>
          <w:p w14:paraId="0945A8AC">
            <w:pPr>
              <w:spacing w:before="40" w:after="40" w:line="240" w:lineRule="auto"/>
            </w:pPr>
            <w:r>
              <w:rPr>
                <w:b/>
                <w:color w:val="FFFFFF"/>
                <w:sz w:val="19"/>
              </w:rPr>
              <w:t>Provider</w:t>
            </w:r>
          </w:p>
        </w:tc>
        <w:tc>
          <w:tcPr>
            <w:tcW w:w="3628" w:type="dxa"/>
            <w:shd w:val="clear" w:color="auto" w:fill="002B49"/>
          </w:tcPr>
          <w:p w14:paraId="212EBDA2">
            <w:pPr>
              <w:spacing w:before="40" w:after="40" w:line="240" w:lineRule="auto"/>
            </w:pPr>
            <w:r>
              <w:rPr>
                <w:b/>
                <w:color w:val="FFFFFF"/>
                <w:sz w:val="19"/>
              </w:rPr>
              <w:t>Brisbane South East sites</w:t>
            </w:r>
          </w:p>
        </w:tc>
        <w:tc>
          <w:tcPr>
            <w:tcW w:w="2041" w:type="dxa"/>
            <w:shd w:val="clear" w:color="auto" w:fill="002B49"/>
          </w:tcPr>
          <w:p w14:paraId="7CD18FFC">
            <w:pPr>
              <w:spacing w:before="40" w:after="40" w:line="240" w:lineRule="auto"/>
            </w:pPr>
            <w:r>
              <w:rPr>
                <w:b/>
                <w:color w:val="FFFFFF"/>
                <w:sz w:val="19"/>
              </w:rPr>
              <w:t>Phone / email</w:t>
            </w:r>
          </w:p>
        </w:tc>
        <w:tc>
          <w:tcPr>
            <w:tcW w:w="1531" w:type="dxa"/>
            <w:shd w:val="clear" w:color="auto" w:fill="002B49"/>
          </w:tcPr>
          <w:p w14:paraId="508FB3AB">
            <w:pPr>
              <w:spacing w:before="40" w:after="40" w:line="240" w:lineRule="auto"/>
            </w:pPr>
            <w:r>
              <w:rPr>
                <w:b/>
                <w:color w:val="FFFFFF"/>
                <w:sz w:val="19"/>
              </w:rPr>
              <w:t>Status</w:t>
            </w:r>
          </w:p>
        </w:tc>
      </w:tr>
      <w:tr w14:paraId="5559C3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40" w:type="dxa"/>
            <w:left w:w="80" w:type="dxa"/>
            <w:bottom w:w="40" w:type="dxa"/>
            <w:right w:w="80" w:type="dxa"/>
          </w:tblCellMar>
        </w:tblPrEx>
        <w:trPr>
          <w:jc w:val="center"/>
        </w:trPr>
        <w:tc>
          <w:tcPr>
            <w:tcW w:w="2608" w:type="dxa"/>
            <w:shd w:val="clear" w:color="auto" w:fill="F5F9FC"/>
          </w:tcPr>
          <w:p w14:paraId="6EC99EFA">
            <w:pPr>
              <w:spacing w:before="40" w:after="40" w:line="240" w:lineRule="auto"/>
            </w:pPr>
            <w:r>
              <w:rPr>
                <w:sz w:val="19"/>
              </w:rPr>
              <w:t>YFS Ltd</w:t>
            </w:r>
          </w:p>
        </w:tc>
        <w:tc>
          <w:tcPr>
            <w:tcW w:w="3628" w:type="dxa"/>
          </w:tcPr>
          <w:p w14:paraId="5668BD36">
            <w:pPr>
              <w:spacing w:before="40" w:after="40" w:line="240" w:lineRule="auto"/>
            </w:pPr>
            <w:r>
              <w:rPr>
                <w:sz w:val="19"/>
              </w:rPr>
              <w:t>2–12 Slacks Creek Centre, 378 Kingston Road, Slacks Creek QLD 4127; coverage of Slacks Creek, Logan Central, Woodridge and Springwood</w:t>
            </w:r>
          </w:p>
        </w:tc>
        <w:tc>
          <w:tcPr>
            <w:tcW w:w="2041" w:type="dxa"/>
          </w:tcPr>
          <w:p w14:paraId="2A294980">
            <w:pPr>
              <w:spacing w:before="40" w:after="40" w:line="240" w:lineRule="auto"/>
            </w:pPr>
            <w:r>
              <w:rPr>
                <w:sz w:val="19"/>
              </w:rPr>
              <w:t>07 3826 1500; parentpathways@yfs.org.au</w:t>
            </w:r>
          </w:p>
        </w:tc>
        <w:tc>
          <w:tcPr>
            <w:tcW w:w="1531" w:type="dxa"/>
          </w:tcPr>
          <w:p w14:paraId="76462BAA">
            <w:pPr>
              <w:spacing w:before="40" w:after="40" w:line="240" w:lineRule="auto"/>
            </w:pPr>
            <w:r>
              <w:rPr>
                <w:sz w:val="19"/>
              </w:rPr>
              <w:t>REQUIRES VERIFICATION</w:t>
            </w:r>
          </w:p>
        </w:tc>
      </w:tr>
      <w:tr w14:paraId="03F3E4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40" w:type="dxa"/>
            <w:left w:w="80" w:type="dxa"/>
            <w:bottom w:w="40" w:type="dxa"/>
            <w:right w:w="80" w:type="dxa"/>
          </w:tblCellMar>
        </w:tblPrEx>
        <w:trPr>
          <w:jc w:val="center"/>
        </w:trPr>
        <w:tc>
          <w:tcPr>
            <w:tcW w:w="2608" w:type="dxa"/>
            <w:shd w:val="clear" w:color="auto" w:fill="F5F9FC"/>
          </w:tcPr>
          <w:p w14:paraId="3B3A0147">
            <w:pPr>
              <w:spacing w:before="40" w:after="40" w:line="240" w:lineRule="auto"/>
            </w:pPr>
            <w:r>
              <w:rPr>
                <w:sz w:val="19"/>
              </w:rPr>
              <w:t>Enterprise &amp; Training Company (ETC)</w:t>
            </w:r>
          </w:p>
        </w:tc>
        <w:tc>
          <w:tcPr>
            <w:tcW w:w="3628" w:type="dxa"/>
          </w:tcPr>
          <w:p w14:paraId="21C69C9B">
            <w:pPr>
              <w:spacing w:before="40" w:after="40" w:line="240" w:lineRule="auto"/>
            </w:pPr>
            <w:r>
              <w:rPr>
                <w:sz w:val="19"/>
              </w:rPr>
              <w:t>Level 2, Suite D, 57 Sanders Street and 4B 2092 Logan Road, Upper Mount Gravatt QLD 4122; coverage of Upper Mount Gravatt, Eight Mile Plains, Wishart, Macgregor</w:t>
            </w:r>
          </w:p>
        </w:tc>
        <w:tc>
          <w:tcPr>
            <w:tcW w:w="2041" w:type="dxa"/>
          </w:tcPr>
          <w:p w14:paraId="0D04ED52">
            <w:pPr>
              <w:spacing w:before="40" w:after="40" w:line="240" w:lineRule="auto"/>
            </w:pPr>
            <w:r>
              <w:rPr>
                <w:sz w:val="19"/>
              </w:rPr>
              <w:t>1800 007 400; mountgravatt@etcltd.com.au</w:t>
            </w:r>
          </w:p>
        </w:tc>
        <w:tc>
          <w:tcPr>
            <w:tcW w:w="1531" w:type="dxa"/>
          </w:tcPr>
          <w:p w14:paraId="38C46BF2">
            <w:pPr>
              <w:spacing w:before="40" w:after="40" w:line="240" w:lineRule="auto"/>
            </w:pPr>
            <w:r>
              <w:rPr>
                <w:sz w:val="19"/>
              </w:rPr>
              <w:t>REQUIRES VERIFICATION</w:t>
            </w:r>
          </w:p>
        </w:tc>
      </w:tr>
      <w:tr w14:paraId="4D3AC3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40" w:type="dxa"/>
            <w:left w:w="80" w:type="dxa"/>
            <w:bottom w:w="40" w:type="dxa"/>
            <w:right w:w="80" w:type="dxa"/>
          </w:tblCellMar>
        </w:tblPrEx>
        <w:trPr>
          <w:jc w:val="center"/>
        </w:trPr>
        <w:tc>
          <w:tcPr>
            <w:tcW w:w="2608" w:type="dxa"/>
            <w:shd w:val="clear" w:color="auto" w:fill="F5F9FC"/>
          </w:tcPr>
          <w:p w14:paraId="33FEDBA7">
            <w:pPr>
              <w:spacing w:before="40" w:after="40" w:line="240" w:lineRule="auto"/>
            </w:pPr>
            <w:r>
              <w:rPr>
                <w:sz w:val="19"/>
              </w:rPr>
              <w:t>Sarina Russo Entrepreneurs / Job Access</w:t>
            </w:r>
          </w:p>
        </w:tc>
        <w:tc>
          <w:tcPr>
            <w:tcW w:w="3628" w:type="dxa"/>
          </w:tcPr>
          <w:p w14:paraId="748B37FE">
            <w:pPr>
              <w:spacing w:before="40" w:after="40" w:line="240" w:lineRule="auto"/>
            </w:pPr>
            <w:r>
              <w:rPr>
                <w:sz w:val="19"/>
              </w:rPr>
              <w:t>Upper Mount Gravatt Hub; Inala (Saigon Plaza, 37 Corsair Ave, Inala QLD 4077); coverage of Inala, Acacia Ridge, Mount Gravatt</w:t>
            </w:r>
          </w:p>
        </w:tc>
        <w:tc>
          <w:tcPr>
            <w:tcW w:w="2041" w:type="dxa"/>
          </w:tcPr>
          <w:p w14:paraId="6C79FC3E">
            <w:pPr>
              <w:spacing w:before="40" w:after="40" w:line="240" w:lineRule="auto"/>
            </w:pPr>
            <w:r>
              <w:rPr>
                <w:sz w:val="19"/>
              </w:rPr>
              <w:t>131559; webquery@sarinarusso.com.au</w:t>
            </w:r>
          </w:p>
        </w:tc>
        <w:tc>
          <w:tcPr>
            <w:tcW w:w="1531" w:type="dxa"/>
          </w:tcPr>
          <w:p w14:paraId="6CA56C47">
            <w:pPr>
              <w:spacing w:before="40" w:after="40" w:line="240" w:lineRule="auto"/>
            </w:pPr>
            <w:r>
              <w:rPr>
                <w:sz w:val="19"/>
              </w:rPr>
              <w:t>REQUIRES VERIFICATION</w:t>
            </w:r>
          </w:p>
        </w:tc>
      </w:tr>
    </w:tbl>
    <w:p w14:paraId="2B1977AB">
      <w:r>
        <w:br w:type="page"/>
      </w:r>
    </w:p>
    <w:p w14:paraId="69145BFB">
      <w:pPr>
        <w:pStyle w:val="2"/>
      </w:pPr>
      <w:r>
        <w:rPr>
          <w:color w:val="002B49"/>
        </w:rPr>
        <w:t>11. Economic Pathways to Refugee Integration (EPRI)</w:t>
      </w:r>
    </w:p>
    <w:p w14:paraId="4BF3E3AA">
      <w:pPr>
        <w:spacing w:before="0" w:after="120"/>
      </w:pPr>
      <w:r>
        <w:rPr>
          <w:b w:val="0"/>
          <w:i w:val="0"/>
          <w:sz w:val="21"/>
        </w:rPr>
        <w:t>The Economic Pathways to Refugee Integration (EPRI) program focuses on increasing employment rates for refugees and humanitarian entrants. It creates job opportunities and pathways to employment and self-employment for refugees with low skill levels and low English language proficiency. The EPRI program is a pilot program that began in February 2023 and has been extended to 30 June 2026. The EPRI programs are funded by the Department of Home Affairs.</w:t>
      </w:r>
    </w:p>
    <w:p w14:paraId="0CD20875">
      <w:pPr>
        <w:pStyle w:val="3"/>
      </w:pPr>
      <w:r>
        <w:rPr>
          <w:color w:val="0066CC"/>
        </w:rPr>
        <w:t>11.1 Eligibility</w:t>
      </w:r>
    </w:p>
    <w:p w14:paraId="13C41E2B">
      <w:pPr>
        <w:spacing w:before="0" w:after="120"/>
      </w:pPr>
      <w:r>
        <w:rPr>
          <w:b w:val="0"/>
          <w:i w:val="0"/>
          <w:sz w:val="21"/>
        </w:rPr>
        <w:t>The EPRI program is for eligible refugees and humanitarian entrants with unique barriers to employment, with low English language proficiency and/or low skill levels. Eligible visa holders include permanent visa subclasses (including Child visa 101 and Orphan Relative visa 837 where the individual is from a listed humanitarian nationality; Orphan Relative visa 117; Refugee visas 200, 201, 202, 203, 204; Territorial Asylum 800; Resolution of Status 851; Protection 866) and temporary visa subclasses (Temporary Humanitarian Stay 449 and Temporary Humanitarian Concern 786 — all visa holders, including Afghans, Ukrainians, Palestinians and Israelis). Australian citizens are not eligible for the EPRI program.</w:t>
      </w:r>
    </w:p>
    <w:p w14:paraId="57B4080D">
      <w:pPr>
        <w:pStyle w:val="3"/>
      </w:pPr>
      <w:r>
        <w:rPr>
          <w:color w:val="0066CC"/>
        </w:rPr>
        <w:t>11.2 Providers and Projects</w:t>
      </w:r>
    </w:p>
    <w:p w14:paraId="2CCF1D24">
      <w:pPr>
        <w:spacing w:before="0" w:after="120"/>
      </w:pPr>
      <w:r>
        <w:rPr>
          <w:b w:val="0"/>
          <w:i w:val="0"/>
          <w:sz w:val="21"/>
        </w:rPr>
        <w:t>The program provides funding for 20 social enterprise groups across Australia that have demonstrated significant success in creating opportunities for disadvantaged jobseekers, including refugees. The program is delivered in employment regions identified as having a high number of refugee and humanitarian entrant jobseekers with lower skills and/or low English language proficiency.</w:t>
      </w:r>
    </w:p>
    <w:p w14:paraId="6A7D52BF">
      <w:pPr>
        <w:spacing w:before="0" w:after="120"/>
      </w:pPr>
      <w:r>
        <w:rPr>
          <w:b w:val="0"/>
          <w:i w:val="0"/>
          <w:sz w:val="21"/>
        </w:rPr>
        <w:t>EPRI providers delivering in the Brisbane South East Employment Region (per national provider information and the environmental scan) include:</w:t>
      </w:r>
    </w:p>
    <w:tbl>
      <w:tblPr>
        <w:tblStyle w:val="35"/>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0" w:type="dxa"/>
          <w:left w:w="80" w:type="dxa"/>
          <w:bottom w:w="40" w:type="dxa"/>
          <w:right w:w="80" w:type="dxa"/>
        </w:tblCellMar>
      </w:tblPr>
      <w:tblGrid>
        <w:gridCol w:w="1928"/>
        <w:gridCol w:w="1928"/>
        <w:gridCol w:w="1928"/>
        <w:gridCol w:w="1928"/>
        <w:gridCol w:w="1928"/>
      </w:tblGrid>
      <w:tr w14:paraId="41C158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40" w:type="dxa"/>
            <w:left w:w="80" w:type="dxa"/>
            <w:bottom w:w="40" w:type="dxa"/>
            <w:right w:w="80" w:type="dxa"/>
          </w:tblCellMar>
        </w:tblPrEx>
        <w:trPr>
          <w:tblHeader/>
          <w:jc w:val="center"/>
        </w:trPr>
        <w:tc>
          <w:tcPr>
            <w:tcW w:w="2041" w:type="dxa"/>
            <w:shd w:val="clear" w:color="auto" w:fill="002B49"/>
          </w:tcPr>
          <w:p w14:paraId="60D1EDDA">
            <w:pPr>
              <w:spacing w:before="40" w:after="40" w:line="240" w:lineRule="auto"/>
            </w:pPr>
            <w:r>
              <w:rPr>
                <w:b/>
                <w:color w:val="FFFFFF"/>
                <w:sz w:val="19"/>
              </w:rPr>
              <w:t>Provider</w:t>
            </w:r>
          </w:p>
        </w:tc>
        <w:tc>
          <w:tcPr>
            <w:tcW w:w="2608" w:type="dxa"/>
            <w:shd w:val="clear" w:color="auto" w:fill="002B49"/>
          </w:tcPr>
          <w:p w14:paraId="1D72A850">
            <w:pPr>
              <w:spacing w:before="40" w:after="40" w:line="240" w:lineRule="auto"/>
            </w:pPr>
            <w:r>
              <w:rPr>
                <w:b/>
                <w:color w:val="FFFFFF"/>
                <w:sz w:val="19"/>
              </w:rPr>
              <w:t>Project</w:t>
            </w:r>
          </w:p>
        </w:tc>
        <w:tc>
          <w:tcPr>
            <w:tcW w:w="1928" w:type="dxa"/>
            <w:shd w:val="clear" w:color="auto" w:fill="002B49"/>
          </w:tcPr>
          <w:p w14:paraId="530F9364">
            <w:pPr>
              <w:spacing w:before="40" w:after="40" w:line="240" w:lineRule="auto"/>
            </w:pPr>
            <w:r>
              <w:rPr>
                <w:b/>
                <w:color w:val="FFFFFF"/>
                <w:sz w:val="19"/>
              </w:rPr>
              <w:t>Brisbane South East relevance</w:t>
            </w:r>
          </w:p>
        </w:tc>
        <w:tc>
          <w:tcPr>
            <w:tcW w:w="1814" w:type="dxa"/>
            <w:shd w:val="clear" w:color="auto" w:fill="002B49"/>
          </w:tcPr>
          <w:p w14:paraId="5D9925B6">
            <w:pPr>
              <w:spacing w:before="40" w:after="40" w:line="240" w:lineRule="auto"/>
            </w:pPr>
            <w:r>
              <w:rPr>
                <w:b/>
                <w:color w:val="FFFFFF"/>
                <w:sz w:val="19"/>
              </w:rPr>
              <w:t>Contact</w:t>
            </w:r>
          </w:p>
        </w:tc>
        <w:tc>
          <w:tcPr>
            <w:tcW w:w="1474" w:type="dxa"/>
            <w:shd w:val="clear" w:color="auto" w:fill="002B49"/>
          </w:tcPr>
          <w:p w14:paraId="48432F30">
            <w:pPr>
              <w:spacing w:before="40" w:after="40" w:line="240" w:lineRule="auto"/>
            </w:pPr>
            <w:r>
              <w:rPr>
                <w:b/>
                <w:color w:val="FFFFFF"/>
                <w:sz w:val="19"/>
              </w:rPr>
              <w:t>Status</w:t>
            </w:r>
          </w:p>
        </w:tc>
      </w:tr>
      <w:tr w14:paraId="7DA9A3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40" w:type="dxa"/>
            <w:left w:w="80" w:type="dxa"/>
            <w:bottom w:w="40" w:type="dxa"/>
            <w:right w:w="80" w:type="dxa"/>
          </w:tblCellMar>
        </w:tblPrEx>
        <w:trPr>
          <w:jc w:val="center"/>
        </w:trPr>
        <w:tc>
          <w:tcPr>
            <w:tcW w:w="2041" w:type="dxa"/>
            <w:shd w:val="clear" w:color="auto" w:fill="F5F9FC"/>
          </w:tcPr>
          <w:p w14:paraId="0D9660F6">
            <w:pPr>
              <w:spacing w:before="40" w:after="40" w:line="240" w:lineRule="auto"/>
            </w:pPr>
            <w:r>
              <w:rPr>
                <w:sz w:val="19"/>
              </w:rPr>
              <w:t>Civik People</w:t>
            </w:r>
          </w:p>
        </w:tc>
        <w:tc>
          <w:tcPr>
            <w:tcW w:w="2608" w:type="dxa"/>
          </w:tcPr>
          <w:p w14:paraId="179D796D">
            <w:pPr>
              <w:spacing w:before="40" w:after="40" w:line="240" w:lineRule="auto"/>
            </w:pPr>
            <w:r>
              <w:rPr>
                <w:sz w:val="19"/>
              </w:rPr>
              <w:t>Training, recruitment and on-the-job support for refugees and humanitarian entrants, transitioning employees into direct employment with 6 months of post-transition support</w:t>
            </w:r>
          </w:p>
        </w:tc>
        <w:tc>
          <w:tcPr>
            <w:tcW w:w="1928" w:type="dxa"/>
          </w:tcPr>
          <w:p w14:paraId="42E1AA81">
            <w:pPr>
              <w:spacing w:before="40" w:after="40" w:line="240" w:lineRule="auto"/>
            </w:pPr>
            <w:r>
              <w:rPr>
                <w:sz w:val="19"/>
              </w:rPr>
              <w:t>Queensland — Brisbane South East (also other QLD regions)</w:t>
            </w:r>
          </w:p>
        </w:tc>
        <w:tc>
          <w:tcPr>
            <w:tcW w:w="1814" w:type="dxa"/>
          </w:tcPr>
          <w:p w14:paraId="44310C40">
            <w:pPr>
              <w:spacing w:before="40" w:after="40" w:line="240" w:lineRule="auto"/>
            </w:pPr>
            <w:r>
              <w:rPr>
                <w:sz w:val="19"/>
              </w:rPr>
              <w:t>hello@civikpeople.com.au; civikpeople.com.au</w:t>
            </w:r>
          </w:p>
        </w:tc>
        <w:tc>
          <w:tcPr>
            <w:tcW w:w="1474" w:type="dxa"/>
          </w:tcPr>
          <w:p w14:paraId="2F5931ED">
            <w:pPr>
              <w:spacing w:before="40" w:after="40" w:line="240" w:lineRule="auto"/>
            </w:pPr>
            <w:r>
              <w:rPr>
                <w:sz w:val="19"/>
              </w:rPr>
              <w:t>OFFICIAL PROGRAM INFORMATION (Home Affairs provider list)</w:t>
            </w:r>
          </w:p>
        </w:tc>
      </w:tr>
      <w:tr w14:paraId="6B07C9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40" w:type="dxa"/>
            <w:left w:w="80" w:type="dxa"/>
            <w:bottom w:w="40" w:type="dxa"/>
            <w:right w:w="80" w:type="dxa"/>
          </w:tblCellMar>
        </w:tblPrEx>
        <w:trPr>
          <w:jc w:val="center"/>
        </w:trPr>
        <w:tc>
          <w:tcPr>
            <w:tcW w:w="2041" w:type="dxa"/>
            <w:shd w:val="clear" w:color="auto" w:fill="F5F9FC"/>
          </w:tcPr>
          <w:p w14:paraId="3E9D5A4B">
            <w:pPr>
              <w:spacing w:before="40" w:after="40" w:line="240" w:lineRule="auto"/>
            </w:pPr>
            <w:r>
              <w:rPr>
                <w:sz w:val="19"/>
              </w:rPr>
              <w:t>Community Corporate Pty Ltd</w:t>
            </w:r>
          </w:p>
        </w:tc>
        <w:tc>
          <w:tcPr>
            <w:tcW w:w="2608" w:type="dxa"/>
          </w:tcPr>
          <w:p w14:paraId="55F793F8">
            <w:pPr>
              <w:spacing w:before="40" w:after="40" w:line="240" w:lineRule="auto"/>
            </w:pPr>
            <w:r>
              <w:rPr>
                <w:sz w:val="19"/>
              </w:rPr>
              <w:t>Refugee E3 Project (Engage, Educate and Employ) — employment preparation, mentoring, employer connections and workplace pathways integrated into a social enterprise employment model</w:t>
            </w:r>
          </w:p>
        </w:tc>
        <w:tc>
          <w:tcPr>
            <w:tcW w:w="1928" w:type="dxa"/>
          </w:tcPr>
          <w:p w14:paraId="5F85EC50">
            <w:pPr>
              <w:spacing w:before="40" w:after="40" w:line="240" w:lineRule="auto"/>
            </w:pPr>
            <w:r>
              <w:rPr>
                <w:sz w:val="19"/>
              </w:rPr>
              <w:t>Queensland — Brisbane South East</w:t>
            </w:r>
          </w:p>
        </w:tc>
        <w:tc>
          <w:tcPr>
            <w:tcW w:w="1814" w:type="dxa"/>
          </w:tcPr>
          <w:p w14:paraId="686DB608">
            <w:pPr>
              <w:spacing w:before="40" w:after="40" w:line="240" w:lineRule="auto"/>
            </w:pPr>
            <w:r>
              <w:rPr>
                <w:sz w:val="19"/>
              </w:rPr>
              <w:t>jobs@communitycorporate.com.au; careers@communitycorporate.com.au (scan); communitycorporate.com.au</w:t>
            </w:r>
          </w:p>
        </w:tc>
        <w:tc>
          <w:tcPr>
            <w:tcW w:w="1474" w:type="dxa"/>
          </w:tcPr>
          <w:p w14:paraId="7F2F8810">
            <w:pPr>
              <w:spacing w:before="40" w:after="40" w:line="240" w:lineRule="auto"/>
            </w:pPr>
            <w:r>
              <w:rPr>
                <w:sz w:val="19"/>
              </w:rPr>
              <w:t>OFFICIAL PROGRAM INFORMATION + environmental scan record</w:t>
            </w:r>
          </w:p>
        </w:tc>
      </w:tr>
      <w:tr w14:paraId="1F0200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40" w:type="dxa"/>
            <w:left w:w="80" w:type="dxa"/>
            <w:bottom w:w="40" w:type="dxa"/>
            <w:right w:w="80" w:type="dxa"/>
          </w:tblCellMar>
        </w:tblPrEx>
        <w:trPr>
          <w:jc w:val="center"/>
        </w:trPr>
        <w:tc>
          <w:tcPr>
            <w:tcW w:w="2041" w:type="dxa"/>
            <w:shd w:val="clear" w:color="auto" w:fill="F5F9FC"/>
          </w:tcPr>
          <w:p w14:paraId="60A96F80">
            <w:pPr>
              <w:spacing w:before="40" w:after="40" w:line="240" w:lineRule="auto"/>
            </w:pPr>
            <w:r>
              <w:rPr>
                <w:sz w:val="19"/>
              </w:rPr>
              <w:t>Nundah Community Enterprises Cooperative (NCEC)</w:t>
            </w:r>
          </w:p>
        </w:tc>
        <w:tc>
          <w:tcPr>
            <w:tcW w:w="2608" w:type="dxa"/>
          </w:tcPr>
          <w:p w14:paraId="77EFAF67">
            <w:pPr>
              <w:spacing w:before="40" w:after="40" w:line="240" w:lineRule="auto"/>
            </w:pPr>
            <w:r>
              <w:rPr>
                <w:sz w:val="19"/>
              </w:rPr>
              <w:t>Pathways to Employment — varied opportunities for people with lower skill and/or lower English proficiency using existing suite of businesses</w:t>
            </w:r>
          </w:p>
        </w:tc>
        <w:tc>
          <w:tcPr>
            <w:tcW w:w="1928" w:type="dxa"/>
          </w:tcPr>
          <w:p w14:paraId="2E50E5F1">
            <w:pPr>
              <w:spacing w:before="40" w:after="40" w:line="240" w:lineRule="auto"/>
            </w:pPr>
            <w:r>
              <w:rPr>
                <w:sz w:val="19"/>
              </w:rPr>
              <w:t>Queensland — Brisbane South East, Logan, Somerset, Wivenhoe</w:t>
            </w:r>
          </w:p>
        </w:tc>
        <w:tc>
          <w:tcPr>
            <w:tcW w:w="1814" w:type="dxa"/>
          </w:tcPr>
          <w:p w14:paraId="2DCDE63C">
            <w:pPr>
              <w:spacing w:before="40" w:after="40" w:line="240" w:lineRule="auto"/>
            </w:pPr>
            <w:r>
              <w:rPr>
                <w:sz w:val="19"/>
              </w:rPr>
              <w:t>NCEC website (ncec.com.au)</w:t>
            </w:r>
          </w:p>
        </w:tc>
        <w:tc>
          <w:tcPr>
            <w:tcW w:w="1474" w:type="dxa"/>
          </w:tcPr>
          <w:p w14:paraId="1BF144AB">
            <w:pPr>
              <w:spacing w:before="40" w:after="40" w:line="240" w:lineRule="auto"/>
            </w:pPr>
            <w:r>
              <w:rPr>
                <w:sz w:val="19"/>
              </w:rPr>
              <w:t>OFFICIAL PROGRAM INFORMATION (Home Affairs provider list)</w:t>
            </w:r>
          </w:p>
        </w:tc>
      </w:tr>
      <w:tr w14:paraId="01E2FA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40" w:type="dxa"/>
            <w:left w:w="80" w:type="dxa"/>
            <w:bottom w:w="40" w:type="dxa"/>
            <w:right w:w="80" w:type="dxa"/>
          </w:tblCellMar>
        </w:tblPrEx>
        <w:trPr>
          <w:jc w:val="center"/>
        </w:trPr>
        <w:tc>
          <w:tcPr>
            <w:tcW w:w="2041" w:type="dxa"/>
            <w:shd w:val="clear" w:color="auto" w:fill="F5F9FC"/>
          </w:tcPr>
          <w:p w14:paraId="78586F5F">
            <w:pPr>
              <w:spacing w:before="40" w:after="40" w:line="240" w:lineRule="auto"/>
            </w:pPr>
            <w:r>
              <w:rPr>
                <w:sz w:val="19"/>
              </w:rPr>
              <w:t>Thrive Refugee Enterprise Ltd</w:t>
            </w:r>
          </w:p>
        </w:tc>
        <w:tc>
          <w:tcPr>
            <w:tcW w:w="2608" w:type="dxa"/>
          </w:tcPr>
          <w:p w14:paraId="317D02A3">
            <w:pPr>
              <w:spacing w:before="40" w:after="40" w:line="240" w:lineRule="auto"/>
            </w:pPr>
            <w:r>
              <w:rPr>
                <w:sz w:val="19"/>
              </w:rPr>
              <w:t>Pathways to small business ownership/self-employment with financing support</w:t>
            </w:r>
          </w:p>
        </w:tc>
        <w:tc>
          <w:tcPr>
            <w:tcW w:w="1928" w:type="dxa"/>
          </w:tcPr>
          <w:p w14:paraId="20AA9431">
            <w:pPr>
              <w:spacing w:before="40" w:after="40" w:line="240" w:lineRule="auto"/>
            </w:pPr>
            <w:r>
              <w:rPr>
                <w:sz w:val="19"/>
              </w:rPr>
              <w:t>Queensland — Brisbane South East</w:t>
            </w:r>
          </w:p>
        </w:tc>
        <w:tc>
          <w:tcPr>
            <w:tcW w:w="1814" w:type="dxa"/>
          </w:tcPr>
          <w:p w14:paraId="3C410425">
            <w:pPr>
              <w:spacing w:before="40" w:after="40" w:line="240" w:lineRule="auto"/>
            </w:pPr>
            <w:r>
              <w:rPr>
                <w:sz w:val="19"/>
              </w:rPr>
              <w:t>info@tre.org.au; thriverefugeeenterprise.org.au</w:t>
            </w:r>
          </w:p>
        </w:tc>
        <w:tc>
          <w:tcPr>
            <w:tcW w:w="1474" w:type="dxa"/>
          </w:tcPr>
          <w:p w14:paraId="5F4D6A0A">
            <w:pPr>
              <w:spacing w:before="40" w:after="40" w:line="240" w:lineRule="auto"/>
            </w:pPr>
            <w:r>
              <w:rPr>
                <w:sz w:val="19"/>
              </w:rPr>
              <w:t>OFFICIAL PROGRAM INFORMATION (Home Affairs provider list)</w:t>
            </w:r>
          </w:p>
        </w:tc>
      </w:tr>
      <w:tr w14:paraId="5B389A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40" w:type="dxa"/>
            <w:left w:w="80" w:type="dxa"/>
            <w:bottom w:w="40" w:type="dxa"/>
            <w:right w:w="80" w:type="dxa"/>
          </w:tblCellMar>
        </w:tblPrEx>
        <w:trPr>
          <w:jc w:val="center"/>
        </w:trPr>
        <w:tc>
          <w:tcPr>
            <w:tcW w:w="2041" w:type="dxa"/>
            <w:shd w:val="clear" w:color="auto" w:fill="F5F9FC"/>
          </w:tcPr>
          <w:p w14:paraId="0DACC995">
            <w:pPr>
              <w:spacing w:before="40" w:after="40" w:line="240" w:lineRule="auto"/>
            </w:pPr>
            <w:r>
              <w:rPr>
                <w:sz w:val="19"/>
              </w:rPr>
              <w:t>Multicultural Australia</w:t>
            </w:r>
          </w:p>
        </w:tc>
        <w:tc>
          <w:tcPr>
            <w:tcW w:w="2608" w:type="dxa"/>
          </w:tcPr>
          <w:p w14:paraId="3D91BFC2">
            <w:pPr>
              <w:spacing w:before="40" w:after="40" w:line="240" w:lineRule="auto"/>
            </w:pPr>
            <w:r>
              <w:rPr>
                <w:sz w:val="19"/>
              </w:rPr>
              <w:t>EPRI-related employment preparation, skills and workplace pathways for refugees and humanitarian entrants (environmental scan record)</w:t>
            </w:r>
          </w:p>
        </w:tc>
        <w:tc>
          <w:tcPr>
            <w:tcW w:w="1928" w:type="dxa"/>
          </w:tcPr>
          <w:p w14:paraId="50167DC6">
            <w:pPr>
              <w:spacing w:before="40" w:after="40" w:line="240" w:lineRule="auto"/>
            </w:pPr>
            <w:r>
              <w:rPr>
                <w:sz w:val="19"/>
              </w:rPr>
              <w:t>Brisbane South East and Brisbane metropolitan area</w:t>
            </w:r>
          </w:p>
        </w:tc>
        <w:tc>
          <w:tcPr>
            <w:tcW w:w="1814" w:type="dxa"/>
          </w:tcPr>
          <w:p w14:paraId="1CDCB467">
            <w:pPr>
              <w:spacing w:before="40" w:after="40" w:line="240" w:lineRule="auto"/>
            </w:pPr>
            <w:r>
              <w:rPr>
                <w:sz w:val="19"/>
              </w:rPr>
              <w:t>07 3337 5400; info@multiculturalaustralia.org.au</w:t>
            </w:r>
          </w:p>
        </w:tc>
        <w:tc>
          <w:tcPr>
            <w:tcW w:w="1474" w:type="dxa"/>
          </w:tcPr>
          <w:p w14:paraId="18EAEBB0">
            <w:pPr>
              <w:spacing w:before="40" w:after="40" w:line="240" w:lineRule="auto"/>
            </w:pPr>
            <w:r>
              <w:rPr>
                <w:sz w:val="19"/>
              </w:rPr>
              <w:t>INFORMATION INCOMPLETE — confirm current EPRI funding/location</w:t>
            </w:r>
          </w:p>
        </w:tc>
      </w:tr>
      <w:tr w14:paraId="199A5F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40" w:type="dxa"/>
            <w:left w:w="80" w:type="dxa"/>
            <w:bottom w:w="40" w:type="dxa"/>
            <w:right w:w="80" w:type="dxa"/>
          </w:tblCellMar>
        </w:tblPrEx>
        <w:trPr>
          <w:jc w:val="center"/>
        </w:trPr>
        <w:tc>
          <w:tcPr>
            <w:tcW w:w="2041" w:type="dxa"/>
            <w:shd w:val="clear" w:color="auto" w:fill="F5F9FC"/>
          </w:tcPr>
          <w:p w14:paraId="41F49996">
            <w:pPr>
              <w:spacing w:before="40" w:after="40" w:line="240" w:lineRule="auto"/>
            </w:pPr>
            <w:r>
              <w:rPr>
                <w:sz w:val="19"/>
              </w:rPr>
              <w:t>Social Enterprise Australia</w:t>
            </w:r>
          </w:p>
        </w:tc>
        <w:tc>
          <w:tcPr>
            <w:tcW w:w="2608" w:type="dxa"/>
          </w:tcPr>
          <w:p w14:paraId="6E115301">
            <w:pPr>
              <w:spacing w:before="40" w:after="40" w:line="240" w:lineRule="auto"/>
            </w:pPr>
            <w:r>
              <w:rPr>
                <w:sz w:val="19"/>
              </w:rPr>
              <w:t>EPRI coordination / social enterprise network supporting funded delivery partners</w:t>
            </w:r>
          </w:p>
        </w:tc>
        <w:tc>
          <w:tcPr>
            <w:tcW w:w="1928" w:type="dxa"/>
          </w:tcPr>
          <w:p w14:paraId="1F8289E0">
            <w:pPr>
              <w:spacing w:before="40" w:after="40" w:line="240" w:lineRule="auto"/>
            </w:pPr>
            <w:r>
              <w:rPr>
                <w:sz w:val="19"/>
              </w:rPr>
              <w:t>Brisbane South East through funded delivery partners</w:t>
            </w:r>
          </w:p>
        </w:tc>
        <w:tc>
          <w:tcPr>
            <w:tcW w:w="1814" w:type="dxa"/>
          </w:tcPr>
          <w:p w14:paraId="5CEAC3C4">
            <w:pPr>
              <w:spacing w:before="40" w:after="40" w:line="240" w:lineRule="auto"/>
            </w:pPr>
            <w:r>
              <w:rPr>
                <w:sz w:val="19"/>
              </w:rPr>
              <w:t>hello@socialenterpriseaustralia.org.au</w:t>
            </w:r>
          </w:p>
        </w:tc>
        <w:tc>
          <w:tcPr>
            <w:tcW w:w="1474" w:type="dxa"/>
          </w:tcPr>
          <w:p w14:paraId="4A400139">
            <w:pPr>
              <w:spacing w:before="40" w:after="40" w:line="240" w:lineRule="auto"/>
            </w:pPr>
            <w:r>
              <w:rPr>
                <w:sz w:val="19"/>
              </w:rPr>
              <w:t>INFORMATION INCOMPLETE — network/sector coordination role</w:t>
            </w:r>
          </w:p>
        </w:tc>
      </w:tr>
      <w:tr w14:paraId="6DE19E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40" w:type="dxa"/>
            <w:left w:w="80" w:type="dxa"/>
            <w:bottom w:w="40" w:type="dxa"/>
            <w:right w:w="80" w:type="dxa"/>
          </w:tblCellMar>
        </w:tblPrEx>
        <w:trPr>
          <w:jc w:val="center"/>
        </w:trPr>
        <w:tc>
          <w:tcPr>
            <w:tcW w:w="2041" w:type="dxa"/>
            <w:shd w:val="clear" w:color="auto" w:fill="F5F9FC"/>
          </w:tcPr>
          <w:p w14:paraId="2339E689">
            <w:pPr>
              <w:spacing w:before="40" w:after="40" w:line="240" w:lineRule="auto"/>
            </w:pPr>
            <w:r>
              <w:rPr>
                <w:sz w:val="19"/>
              </w:rPr>
              <w:t>YFS</w:t>
            </w:r>
          </w:p>
        </w:tc>
        <w:tc>
          <w:tcPr>
            <w:tcW w:w="2608" w:type="dxa"/>
          </w:tcPr>
          <w:p w14:paraId="1D6203D3">
            <w:pPr>
              <w:spacing w:before="40" w:after="40" w:line="240" w:lineRule="auto"/>
            </w:pPr>
            <w:r>
              <w:rPr>
                <w:sz w:val="19"/>
              </w:rPr>
              <w:t>Employment and community pathways (environmental scan record; EPRI-specific involvement to be confirmed)</w:t>
            </w:r>
          </w:p>
        </w:tc>
        <w:tc>
          <w:tcPr>
            <w:tcW w:w="1928" w:type="dxa"/>
          </w:tcPr>
          <w:p w14:paraId="31EF984D">
            <w:pPr>
              <w:spacing w:before="40" w:after="40" w:line="240" w:lineRule="auto"/>
            </w:pPr>
            <w:r>
              <w:rPr>
                <w:sz w:val="19"/>
              </w:rPr>
              <w:t>Logan — Logan Central, Slacks Creek, Kingston, Woodridge, Browns Plains</w:t>
            </w:r>
          </w:p>
        </w:tc>
        <w:tc>
          <w:tcPr>
            <w:tcW w:w="1814" w:type="dxa"/>
          </w:tcPr>
          <w:p w14:paraId="5AFAE48B">
            <w:pPr>
              <w:spacing w:before="40" w:after="40" w:line="240" w:lineRule="auto"/>
            </w:pPr>
            <w:r>
              <w:rPr>
                <w:sz w:val="19"/>
              </w:rPr>
              <w:t>07 3826 1500; info@yfs.org.au</w:t>
            </w:r>
          </w:p>
        </w:tc>
        <w:tc>
          <w:tcPr>
            <w:tcW w:w="1474" w:type="dxa"/>
          </w:tcPr>
          <w:p w14:paraId="2DFD7399">
            <w:pPr>
              <w:spacing w:before="40" w:after="40" w:line="240" w:lineRule="auto"/>
            </w:pPr>
            <w:r>
              <w:rPr>
                <w:sz w:val="19"/>
              </w:rPr>
              <w:t>INFORMATION INCOMPLETE — confirm EPRI-specific involvement</w:t>
            </w:r>
          </w:p>
        </w:tc>
      </w:tr>
      <w:tr w14:paraId="670085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40" w:type="dxa"/>
            <w:left w:w="80" w:type="dxa"/>
            <w:bottom w:w="40" w:type="dxa"/>
            <w:right w:w="80" w:type="dxa"/>
          </w:tblCellMar>
        </w:tblPrEx>
        <w:trPr>
          <w:jc w:val="center"/>
        </w:trPr>
        <w:tc>
          <w:tcPr>
            <w:tcW w:w="2041" w:type="dxa"/>
            <w:shd w:val="clear" w:color="auto" w:fill="F5F9FC"/>
          </w:tcPr>
          <w:p w14:paraId="05030CB1">
            <w:pPr>
              <w:spacing w:before="40" w:after="40" w:line="240" w:lineRule="auto"/>
            </w:pPr>
            <w:r>
              <w:rPr>
                <w:sz w:val="19"/>
              </w:rPr>
              <w:t>Access Community Services</w:t>
            </w:r>
          </w:p>
        </w:tc>
        <w:tc>
          <w:tcPr>
            <w:tcW w:w="2608" w:type="dxa"/>
          </w:tcPr>
          <w:p w14:paraId="16595A08">
            <w:pPr>
              <w:spacing w:before="40" w:after="40" w:line="240" w:lineRule="auto"/>
            </w:pPr>
            <w:r>
              <w:rPr>
                <w:sz w:val="19"/>
              </w:rPr>
              <w:t>Employment pathways programs, settlement support, employment readiness and training (environmental scan record)</w:t>
            </w:r>
          </w:p>
        </w:tc>
        <w:tc>
          <w:tcPr>
            <w:tcW w:w="1928" w:type="dxa"/>
          </w:tcPr>
          <w:p w14:paraId="54398C6C">
            <w:pPr>
              <w:spacing w:before="40" w:after="40" w:line="240" w:lineRule="auto"/>
            </w:pPr>
            <w:r>
              <w:rPr>
                <w:sz w:val="19"/>
              </w:rPr>
              <w:t>Logan Central; Logan, Brisbane South East and surrounding suburbs</w:t>
            </w:r>
          </w:p>
        </w:tc>
        <w:tc>
          <w:tcPr>
            <w:tcW w:w="1814" w:type="dxa"/>
          </w:tcPr>
          <w:p w14:paraId="7C85BF89">
            <w:pPr>
              <w:spacing w:before="40" w:after="40" w:line="240" w:lineRule="auto"/>
            </w:pPr>
            <w:r>
              <w:rPr>
                <w:sz w:val="19"/>
              </w:rPr>
              <w:t>07 3412 8222; info@accesscommunity.org.au</w:t>
            </w:r>
          </w:p>
        </w:tc>
        <w:tc>
          <w:tcPr>
            <w:tcW w:w="1474" w:type="dxa"/>
          </w:tcPr>
          <w:p w14:paraId="05E1B904">
            <w:pPr>
              <w:spacing w:before="40" w:after="40" w:line="240" w:lineRule="auto"/>
            </w:pPr>
            <w:r>
              <w:rPr>
                <w:sz w:val="19"/>
              </w:rPr>
              <w:t>INFORMATION INCOMPLETE — confirm current program status</w:t>
            </w:r>
          </w:p>
        </w:tc>
      </w:tr>
      <w:tr w14:paraId="453C3B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40" w:type="dxa"/>
            <w:left w:w="80" w:type="dxa"/>
            <w:bottom w:w="40" w:type="dxa"/>
            <w:right w:w="80" w:type="dxa"/>
          </w:tblCellMar>
        </w:tblPrEx>
        <w:trPr>
          <w:jc w:val="center"/>
        </w:trPr>
        <w:tc>
          <w:tcPr>
            <w:tcW w:w="2041" w:type="dxa"/>
            <w:shd w:val="clear" w:color="auto" w:fill="F5F9FC"/>
          </w:tcPr>
          <w:p w14:paraId="08BF6B2E">
            <w:pPr>
              <w:spacing w:before="40" w:after="40" w:line="240" w:lineRule="auto"/>
            </w:pPr>
            <w:r>
              <w:rPr>
                <w:sz w:val="19"/>
              </w:rPr>
              <w:t>BABI Youth and Family Service</w:t>
            </w:r>
          </w:p>
        </w:tc>
        <w:tc>
          <w:tcPr>
            <w:tcW w:w="2608" w:type="dxa"/>
          </w:tcPr>
          <w:p w14:paraId="31DEC158">
            <w:pPr>
              <w:spacing w:before="40" w:after="40" w:line="240" w:lineRule="auto"/>
            </w:pPr>
            <w:r>
              <w:rPr>
                <w:sz w:val="19"/>
              </w:rPr>
              <w:t>Employment and community support with referral pathways (environmental scan record; EPRI delivery to be confirmed)</w:t>
            </w:r>
          </w:p>
        </w:tc>
        <w:tc>
          <w:tcPr>
            <w:tcW w:w="1928" w:type="dxa"/>
          </w:tcPr>
          <w:p w14:paraId="4A28F487">
            <w:pPr>
              <w:spacing w:before="40" w:after="40" w:line="240" w:lineRule="auto"/>
            </w:pPr>
            <w:r>
              <w:rPr>
                <w:sz w:val="19"/>
              </w:rPr>
              <w:t>Wynnum, Manly, Bayside, Brisbane East</w:t>
            </w:r>
          </w:p>
        </w:tc>
        <w:tc>
          <w:tcPr>
            <w:tcW w:w="1814" w:type="dxa"/>
          </w:tcPr>
          <w:p w14:paraId="325B80B4">
            <w:pPr>
              <w:spacing w:before="40" w:after="40" w:line="240" w:lineRule="auto"/>
            </w:pPr>
            <w:r>
              <w:rPr>
                <w:sz w:val="19"/>
              </w:rPr>
              <w:t>07 3393 4176; babi@babi.org.au</w:t>
            </w:r>
          </w:p>
        </w:tc>
        <w:tc>
          <w:tcPr>
            <w:tcW w:w="1474" w:type="dxa"/>
          </w:tcPr>
          <w:p w14:paraId="4F30F4F5">
            <w:pPr>
              <w:spacing w:before="40" w:after="40" w:line="240" w:lineRule="auto"/>
            </w:pPr>
            <w:r>
              <w:rPr>
                <w:sz w:val="19"/>
              </w:rPr>
              <w:t>INFORMATION INCOMPLETE — confirm EPRI program delivery</w:t>
            </w:r>
          </w:p>
        </w:tc>
      </w:tr>
    </w:tbl>
    <w:p w14:paraId="40F9BE13">
      <w:pPr>
        <w:spacing w:before="0" w:after="120"/>
      </w:pPr>
      <w:r>
        <w:rPr>
          <w:b w:val="0"/>
          <w:i w:val="0"/>
          <w:sz w:val="21"/>
        </w:rPr>
        <w:t>For more information, see the Evaluation of the Economic Pathways to Refugee Integration (EPRI) program (Department of Home Affairs) and the EPRI page on imi.homeaffairs.gov.au.</w:t>
      </w:r>
    </w:p>
    <w:p w14:paraId="1F4B4AE7">
      <w:r>
        <w:br w:type="page"/>
      </w:r>
    </w:p>
    <w:p w14:paraId="186F4D86">
      <w:pPr>
        <w:pStyle w:val="2"/>
      </w:pPr>
      <w:r>
        <w:rPr>
          <w:color w:val="002B49"/>
        </w:rPr>
        <w:t>12. Youth Transition Support Services (YTS)</w:t>
      </w:r>
    </w:p>
    <w:p w14:paraId="2A80AD59">
      <w:pPr>
        <w:spacing w:before="0" w:after="120"/>
      </w:pPr>
      <w:r>
        <w:rPr>
          <w:b w:val="0"/>
          <w:i w:val="0"/>
          <w:sz w:val="21"/>
        </w:rPr>
        <w:t>Starting a new life in a new country is a challenge, and young refugees and migrants often need extra help to become and stay connected in their new community. Youth Transition Support (YTS) services help young humanitarian entrants and eligible migrants aged 15 to 25 to take part in work and education, strengthen vocational skills, and build social connections and confidence through sporting programs.</w:t>
      </w:r>
    </w:p>
    <w:p w14:paraId="0CF34DBE">
      <w:pPr>
        <w:spacing w:before="0" w:after="120"/>
      </w:pPr>
      <w:r>
        <w:rPr>
          <w:b w:val="0"/>
          <w:i w:val="0"/>
          <w:sz w:val="21"/>
        </w:rPr>
        <w:t>YTS services improve workplace readiness, create strong education connections, give access to vocational opportunities, and create strong social connections through education and sports engagement. The Department of Home Affairs is funding YTS services until 30 June 2026.</w:t>
      </w:r>
    </w:p>
    <w:p w14:paraId="64BD1C18">
      <w:pPr>
        <w:pStyle w:val="3"/>
      </w:pPr>
      <w:r>
        <w:rPr>
          <w:color w:val="0066CC"/>
        </w:rPr>
        <w:t>Services</w:t>
      </w:r>
    </w:p>
    <w:p w14:paraId="11613BBE">
      <w:pPr>
        <w:spacing w:before="0" w:after="120"/>
      </w:pPr>
      <w:r>
        <w:rPr>
          <w:b w:val="0"/>
          <w:i w:val="0"/>
          <w:sz w:val="21"/>
        </w:rPr>
        <w:t>YTS services comprise four components ('pillars') delivered holistically: Partnerships for Employment (improving work readiness); Strong Connections to Education (supporting ongoing engagement with education); Vocational Opportunities (helping youth obtain and strengthen vocational skills); and Sports Engagement (building social connections and confidence through sporting programs).</w:t>
      </w:r>
    </w:p>
    <w:p w14:paraId="53536256">
      <w:pPr>
        <w:pStyle w:val="3"/>
      </w:pPr>
      <w:r>
        <w:rPr>
          <w:color w:val="0066CC"/>
        </w:rPr>
        <w:t>Eligibility</w:t>
      </w:r>
    </w:p>
    <w:p w14:paraId="287A8A24">
      <w:pPr>
        <w:spacing w:before="0" w:after="120"/>
      </w:pPr>
      <w:r>
        <w:rPr>
          <w:b w:val="0"/>
          <w:i w:val="0"/>
          <w:sz w:val="21"/>
        </w:rPr>
        <w:t>YTS services are for permanent residents aged 15 to 25 on eligible visas who are either humanitarian entrants, family stream migrants with low English language proficiency, dependents of skilled migrants in rural and regional areas with low English language proficiency, or Temporary Humanitarian Stay (449) visa holders where the visa was granted after 19 August 2021 due to the worsening security situation in Afghanistan. Eligible visas include the refugee and humanitarian visas (200, 201, 202, 203, 204, 800, 866, 449 in the specified circumstances) and listed family stream visas with low English proficiency.</w:t>
      </w:r>
    </w:p>
    <w:p w14:paraId="181C2735">
      <w:pPr>
        <w:pStyle w:val="3"/>
      </w:pPr>
      <w:r>
        <w:rPr>
          <w:color w:val="0066CC"/>
        </w:rPr>
        <w:t>12.3 Locations and Providers</w:t>
      </w:r>
    </w:p>
    <w:p w14:paraId="1D55A6E3">
      <w:pPr>
        <w:spacing w:before="0" w:after="120"/>
      </w:pPr>
      <w:r>
        <w:rPr>
          <w:b w:val="0"/>
          <w:i w:val="0"/>
          <w:sz w:val="21"/>
        </w:rPr>
        <w:t>YTS services are primarily available in specified Local Government Areas, including Brisbane, Logan and Ipswich in Queensland. Six service providers deliver YTS services across Australia; providers relevant to the Brisbane South East region (Home Affairs YTS provider list and environmental scan) include Multicultural Australia and Settlement Services International (SSI) — YTS Queensland.</w:t>
      </w:r>
    </w:p>
    <w:tbl>
      <w:tblPr>
        <w:tblStyle w:val="35"/>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0" w:type="dxa"/>
          <w:left w:w="80" w:type="dxa"/>
          <w:bottom w:w="40" w:type="dxa"/>
          <w:right w:w="80" w:type="dxa"/>
        </w:tblCellMar>
      </w:tblPr>
      <w:tblGrid>
        <w:gridCol w:w="1928"/>
        <w:gridCol w:w="1928"/>
        <w:gridCol w:w="1928"/>
        <w:gridCol w:w="1928"/>
        <w:gridCol w:w="1928"/>
      </w:tblGrid>
      <w:tr w14:paraId="1C180E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40" w:type="dxa"/>
            <w:left w:w="80" w:type="dxa"/>
            <w:bottom w:w="40" w:type="dxa"/>
            <w:right w:w="80" w:type="dxa"/>
          </w:tblCellMar>
        </w:tblPrEx>
        <w:trPr>
          <w:tblHeader/>
          <w:jc w:val="center"/>
        </w:trPr>
        <w:tc>
          <w:tcPr>
            <w:tcW w:w="2041" w:type="dxa"/>
            <w:shd w:val="clear" w:color="auto" w:fill="002B49"/>
          </w:tcPr>
          <w:p w14:paraId="13C4B3F6">
            <w:pPr>
              <w:spacing w:before="40" w:after="40" w:line="240" w:lineRule="auto"/>
            </w:pPr>
            <w:r>
              <w:rPr>
                <w:b/>
                <w:color w:val="FFFFFF"/>
                <w:sz w:val="19"/>
              </w:rPr>
              <w:t>Provider</w:t>
            </w:r>
          </w:p>
        </w:tc>
        <w:tc>
          <w:tcPr>
            <w:tcW w:w="2721" w:type="dxa"/>
            <w:shd w:val="clear" w:color="auto" w:fill="002B49"/>
          </w:tcPr>
          <w:p w14:paraId="242050F2">
            <w:pPr>
              <w:spacing w:before="40" w:after="40" w:line="240" w:lineRule="auto"/>
            </w:pPr>
            <w:r>
              <w:rPr>
                <w:b/>
                <w:color w:val="FFFFFF"/>
                <w:sz w:val="19"/>
              </w:rPr>
              <w:t>Program / service</w:t>
            </w:r>
          </w:p>
        </w:tc>
        <w:tc>
          <w:tcPr>
            <w:tcW w:w="2268" w:type="dxa"/>
            <w:shd w:val="clear" w:color="auto" w:fill="002B49"/>
          </w:tcPr>
          <w:p w14:paraId="2E5FFC15">
            <w:pPr>
              <w:spacing w:before="40" w:after="40" w:line="240" w:lineRule="auto"/>
            </w:pPr>
            <w:r>
              <w:rPr>
                <w:b/>
                <w:color w:val="FFFFFF"/>
                <w:sz w:val="19"/>
              </w:rPr>
              <w:t>Brisbane South East relevance</w:t>
            </w:r>
          </w:p>
        </w:tc>
        <w:tc>
          <w:tcPr>
            <w:tcW w:w="1701" w:type="dxa"/>
            <w:shd w:val="clear" w:color="auto" w:fill="002B49"/>
          </w:tcPr>
          <w:p w14:paraId="465F43CC">
            <w:pPr>
              <w:spacing w:before="40" w:after="40" w:line="240" w:lineRule="auto"/>
            </w:pPr>
            <w:r>
              <w:rPr>
                <w:b/>
                <w:color w:val="FFFFFF"/>
                <w:sz w:val="19"/>
              </w:rPr>
              <w:t>Contact</w:t>
            </w:r>
          </w:p>
        </w:tc>
        <w:tc>
          <w:tcPr>
            <w:tcW w:w="1304" w:type="dxa"/>
            <w:shd w:val="clear" w:color="auto" w:fill="002B49"/>
          </w:tcPr>
          <w:p w14:paraId="0326BB69">
            <w:pPr>
              <w:spacing w:before="40" w:after="40" w:line="240" w:lineRule="auto"/>
            </w:pPr>
            <w:r>
              <w:rPr>
                <w:b/>
                <w:color w:val="FFFFFF"/>
                <w:sz w:val="19"/>
              </w:rPr>
              <w:t>Status</w:t>
            </w:r>
          </w:p>
        </w:tc>
      </w:tr>
      <w:tr w14:paraId="778480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40" w:type="dxa"/>
            <w:left w:w="80" w:type="dxa"/>
            <w:bottom w:w="40" w:type="dxa"/>
            <w:right w:w="80" w:type="dxa"/>
          </w:tblCellMar>
        </w:tblPrEx>
        <w:trPr>
          <w:jc w:val="center"/>
        </w:trPr>
        <w:tc>
          <w:tcPr>
            <w:tcW w:w="2041" w:type="dxa"/>
            <w:shd w:val="clear" w:color="auto" w:fill="F5F9FC"/>
          </w:tcPr>
          <w:p w14:paraId="22D8E288">
            <w:pPr>
              <w:spacing w:before="40" w:after="40" w:line="240" w:lineRule="auto"/>
            </w:pPr>
            <w:r>
              <w:rPr>
                <w:sz w:val="19"/>
              </w:rPr>
              <w:t>Multicultural Australia</w:t>
            </w:r>
          </w:p>
        </w:tc>
        <w:tc>
          <w:tcPr>
            <w:tcW w:w="2721" w:type="dxa"/>
          </w:tcPr>
          <w:p w14:paraId="0B1E0E91">
            <w:pPr>
              <w:spacing w:before="40" w:after="40" w:line="240" w:lineRule="auto"/>
            </w:pPr>
            <w:r>
              <w:rPr>
                <w:sz w:val="19"/>
              </w:rPr>
              <w:t>Youth Transition Support (YTS) — settlement, education, employment pathways and community participation for eligible young migrants and refugees aged 15–25</w:t>
            </w:r>
          </w:p>
        </w:tc>
        <w:tc>
          <w:tcPr>
            <w:tcW w:w="2268" w:type="dxa"/>
          </w:tcPr>
          <w:p w14:paraId="3963D6A3">
            <w:pPr>
              <w:spacing w:before="40" w:after="40" w:line="240" w:lineRule="auto"/>
            </w:pPr>
            <w:r>
              <w:rPr>
                <w:sz w:val="19"/>
              </w:rPr>
              <w:t>Woolloongabba (4102), Brisbane South East suburbs and Brisbane metropolitan area</w:t>
            </w:r>
          </w:p>
        </w:tc>
        <w:tc>
          <w:tcPr>
            <w:tcW w:w="1701" w:type="dxa"/>
          </w:tcPr>
          <w:p w14:paraId="44738975">
            <w:pPr>
              <w:spacing w:before="40" w:after="40" w:line="240" w:lineRule="auto"/>
            </w:pPr>
            <w:r>
              <w:rPr>
                <w:sz w:val="19"/>
              </w:rPr>
              <w:t>07 3337 5400; info@multiculturalaustralia.org.au; multiculturalaustralia.org.au</w:t>
            </w:r>
          </w:p>
        </w:tc>
        <w:tc>
          <w:tcPr>
            <w:tcW w:w="1304" w:type="dxa"/>
          </w:tcPr>
          <w:p w14:paraId="2EF66ABB">
            <w:pPr>
              <w:spacing w:before="40" w:after="40" w:line="240" w:lineRule="auto"/>
            </w:pPr>
            <w:r>
              <w:rPr>
                <w:sz w:val="19"/>
              </w:rPr>
              <w:t>REQUIRES VERIFICATION — coverage confirmed as candidate; scan notes final postcode confirmation required</w:t>
            </w:r>
          </w:p>
        </w:tc>
      </w:tr>
      <w:tr w14:paraId="0285F6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40" w:type="dxa"/>
            <w:left w:w="80" w:type="dxa"/>
            <w:bottom w:w="40" w:type="dxa"/>
            <w:right w:w="80" w:type="dxa"/>
          </w:tblCellMar>
        </w:tblPrEx>
        <w:trPr>
          <w:jc w:val="center"/>
        </w:trPr>
        <w:tc>
          <w:tcPr>
            <w:tcW w:w="2041" w:type="dxa"/>
            <w:shd w:val="clear" w:color="auto" w:fill="F5F9FC"/>
          </w:tcPr>
          <w:p w14:paraId="6407C4F9">
            <w:pPr>
              <w:spacing w:before="40" w:after="40" w:line="240" w:lineRule="auto"/>
            </w:pPr>
            <w:r>
              <w:rPr>
                <w:sz w:val="19"/>
              </w:rPr>
              <w:t>Settlement Services International (SSI)</w:t>
            </w:r>
          </w:p>
        </w:tc>
        <w:tc>
          <w:tcPr>
            <w:tcW w:w="2721" w:type="dxa"/>
          </w:tcPr>
          <w:p w14:paraId="702C8D83">
            <w:pPr>
              <w:spacing w:before="40" w:after="40" w:line="240" w:lineRule="auto"/>
            </w:pPr>
            <w:r>
              <w:rPr>
                <w:sz w:val="19"/>
              </w:rPr>
              <w:t>YTS Queensland — youth settlement, vocational and social connection support</w:t>
            </w:r>
          </w:p>
        </w:tc>
        <w:tc>
          <w:tcPr>
            <w:tcW w:w="2268" w:type="dxa"/>
          </w:tcPr>
          <w:p w14:paraId="78D87DB6">
            <w:pPr>
              <w:spacing w:before="40" w:after="40" w:line="240" w:lineRule="auto"/>
            </w:pPr>
            <w:r>
              <w:rPr>
                <w:sz w:val="19"/>
              </w:rPr>
              <w:t>Queensland YTS delivery (SSI YTS Queensland page)</w:t>
            </w:r>
          </w:p>
        </w:tc>
        <w:tc>
          <w:tcPr>
            <w:tcW w:w="1701" w:type="dxa"/>
          </w:tcPr>
          <w:p w14:paraId="41C56A40">
            <w:pPr>
              <w:spacing w:before="40" w:after="40" w:line="240" w:lineRule="auto"/>
            </w:pPr>
            <w:r>
              <w:rPr>
                <w:sz w:val="19"/>
              </w:rPr>
              <w:t>ssi.org.au/our-services/settlement/yts-queensland/</w:t>
            </w:r>
          </w:p>
        </w:tc>
        <w:tc>
          <w:tcPr>
            <w:tcW w:w="1304" w:type="dxa"/>
          </w:tcPr>
          <w:p w14:paraId="0B2DC8DA">
            <w:pPr>
              <w:spacing w:before="40" w:after="40" w:line="240" w:lineRule="auto"/>
            </w:pPr>
            <w:r>
              <w:rPr>
                <w:sz w:val="19"/>
              </w:rPr>
              <w:t>OFFICIAL PROGRAM INFORMATION (Home Affairs YTS provider list)</w:t>
            </w:r>
          </w:p>
        </w:tc>
      </w:tr>
      <w:tr w14:paraId="6EC9C9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40" w:type="dxa"/>
            <w:left w:w="80" w:type="dxa"/>
            <w:bottom w:w="40" w:type="dxa"/>
            <w:right w:w="80" w:type="dxa"/>
          </w:tblCellMar>
        </w:tblPrEx>
        <w:trPr>
          <w:jc w:val="center"/>
        </w:trPr>
        <w:tc>
          <w:tcPr>
            <w:tcW w:w="2041" w:type="dxa"/>
            <w:shd w:val="clear" w:color="auto" w:fill="F5F9FC"/>
          </w:tcPr>
          <w:p w14:paraId="3E19E03B">
            <w:pPr>
              <w:spacing w:before="40" w:after="40" w:line="240" w:lineRule="auto"/>
            </w:pPr>
            <w:r>
              <w:rPr>
                <w:sz w:val="19"/>
              </w:rPr>
              <w:t>YFS</w:t>
            </w:r>
          </w:p>
        </w:tc>
        <w:tc>
          <w:tcPr>
            <w:tcW w:w="2721" w:type="dxa"/>
          </w:tcPr>
          <w:p w14:paraId="4403D63C">
            <w:pPr>
              <w:spacing w:before="40" w:after="40" w:line="240" w:lineRule="auto"/>
            </w:pPr>
            <w:r>
              <w:rPr>
                <w:sz w:val="19"/>
              </w:rPr>
              <w:t>Youth support services — youth case management, housing support, advocacy, referrals and family support; youth homelessness and family support</w:t>
            </w:r>
          </w:p>
        </w:tc>
        <w:tc>
          <w:tcPr>
            <w:tcW w:w="2268" w:type="dxa"/>
          </w:tcPr>
          <w:p w14:paraId="7108C936">
            <w:pPr>
              <w:spacing w:before="40" w:after="40" w:line="240" w:lineRule="auto"/>
            </w:pPr>
            <w:r>
              <w:rPr>
                <w:sz w:val="19"/>
              </w:rPr>
              <w:t>Slacks Creek (376 Kingston Road, 4127); Kingston, Woodridge, Logan Central, Browns Plains and Logan suburbs</w:t>
            </w:r>
          </w:p>
        </w:tc>
        <w:tc>
          <w:tcPr>
            <w:tcW w:w="1701" w:type="dxa"/>
          </w:tcPr>
          <w:p w14:paraId="609547B4">
            <w:pPr>
              <w:spacing w:before="40" w:after="40" w:line="240" w:lineRule="auto"/>
            </w:pPr>
            <w:r>
              <w:rPr>
                <w:sz w:val="19"/>
              </w:rPr>
              <w:t>07 3826 1500; info@yfs.org.au; yfs.org.au</w:t>
            </w:r>
          </w:p>
        </w:tc>
        <w:tc>
          <w:tcPr>
            <w:tcW w:w="1304" w:type="dxa"/>
          </w:tcPr>
          <w:p w14:paraId="4A098846">
            <w:pPr>
              <w:spacing w:before="40" w:after="40" w:line="240" w:lineRule="auto"/>
            </w:pPr>
            <w:r>
              <w:rPr>
                <w:sz w:val="19"/>
              </w:rPr>
              <w:t>REQUIRES VERIFICATION — major Logan youth support provider</w:t>
            </w:r>
          </w:p>
        </w:tc>
      </w:tr>
      <w:tr w14:paraId="7C7FE2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40" w:type="dxa"/>
            <w:left w:w="80" w:type="dxa"/>
            <w:bottom w:w="40" w:type="dxa"/>
            <w:right w:w="80" w:type="dxa"/>
          </w:tblCellMar>
        </w:tblPrEx>
        <w:trPr>
          <w:jc w:val="center"/>
        </w:trPr>
        <w:tc>
          <w:tcPr>
            <w:tcW w:w="2041" w:type="dxa"/>
            <w:shd w:val="clear" w:color="auto" w:fill="F5F9FC"/>
          </w:tcPr>
          <w:p w14:paraId="5C913D7B">
            <w:pPr>
              <w:spacing w:before="40" w:after="40" w:line="240" w:lineRule="auto"/>
            </w:pPr>
            <w:r>
              <w:rPr>
                <w:sz w:val="19"/>
              </w:rPr>
              <w:t>BABI Youth and Family Service</w:t>
            </w:r>
          </w:p>
        </w:tc>
        <w:tc>
          <w:tcPr>
            <w:tcW w:w="2721" w:type="dxa"/>
          </w:tcPr>
          <w:p w14:paraId="40F71616">
            <w:pPr>
              <w:spacing w:before="40" w:after="40" w:line="240" w:lineRule="auto"/>
            </w:pPr>
            <w:r>
              <w:rPr>
                <w:sz w:val="19"/>
              </w:rPr>
              <w:t>Youth and family support services — counselling, early intervention and community programs</w:t>
            </w:r>
          </w:p>
        </w:tc>
        <w:tc>
          <w:tcPr>
            <w:tcW w:w="2268" w:type="dxa"/>
          </w:tcPr>
          <w:p w14:paraId="5A9E45DE">
            <w:pPr>
              <w:spacing w:before="40" w:after="40" w:line="240" w:lineRule="auto"/>
            </w:pPr>
            <w:r>
              <w:rPr>
                <w:sz w:val="19"/>
              </w:rPr>
              <w:t>Wynnum (34 Bay Terrace, 4178); Manly, Manly West, Lota and Brisbane Bayside suburbs</w:t>
            </w:r>
          </w:p>
        </w:tc>
        <w:tc>
          <w:tcPr>
            <w:tcW w:w="1701" w:type="dxa"/>
          </w:tcPr>
          <w:p w14:paraId="6A22C71D">
            <w:pPr>
              <w:spacing w:before="40" w:after="40" w:line="240" w:lineRule="auto"/>
            </w:pPr>
            <w:r>
              <w:rPr>
                <w:sz w:val="19"/>
              </w:rPr>
              <w:t>07 3393 4176; babi@babi.org.au; babi.org.au</w:t>
            </w:r>
          </w:p>
        </w:tc>
        <w:tc>
          <w:tcPr>
            <w:tcW w:w="1304" w:type="dxa"/>
          </w:tcPr>
          <w:p w14:paraId="505BA9CF">
            <w:pPr>
              <w:spacing w:before="40" w:after="40" w:line="240" w:lineRule="auto"/>
            </w:pPr>
            <w:r>
              <w:rPr>
                <w:sz w:val="19"/>
              </w:rPr>
              <w:t>REQUIRES VERIFICATION — Bayside youth and family service</w:t>
            </w:r>
          </w:p>
        </w:tc>
      </w:tr>
      <w:tr w14:paraId="26591A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40" w:type="dxa"/>
            <w:left w:w="80" w:type="dxa"/>
            <w:bottom w:w="40" w:type="dxa"/>
            <w:right w:w="80" w:type="dxa"/>
          </w:tblCellMar>
        </w:tblPrEx>
        <w:trPr>
          <w:jc w:val="center"/>
        </w:trPr>
        <w:tc>
          <w:tcPr>
            <w:tcW w:w="2041" w:type="dxa"/>
            <w:shd w:val="clear" w:color="auto" w:fill="F5F9FC"/>
          </w:tcPr>
          <w:p w14:paraId="797B9B2D">
            <w:pPr>
              <w:spacing w:before="40" w:after="40" w:line="240" w:lineRule="auto"/>
            </w:pPr>
            <w:r>
              <w:rPr>
                <w:sz w:val="19"/>
              </w:rPr>
              <w:t>Anglicare Southern Queensland</w:t>
            </w:r>
          </w:p>
        </w:tc>
        <w:tc>
          <w:tcPr>
            <w:tcW w:w="2721" w:type="dxa"/>
          </w:tcPr>
          <w:p w14:paraId="60BF2194">
            <w:pPr>
              <w:spacing w:before="40" w:after="40" w:line="240" w:lineRule="auto"/>
            </w:pPr>
            <w:r>
              <w:rPr>
                <w:sz w:val="19"/>
              </w:rPr>
              <w:t>Youth housing and support services — housing support, homelessness assistance, referrals and transition support</w:t>
            </w:r>
          </w:p>
        </w:tc>
        <w:tc>
          <w:tcPr>
            <w:tcW w:w="2268" w:type="dxa"/>
          </w:tcPr>
          <w:p w14:paraId="6BC27C4C">
            <w:pPr>
              <w:spacing w:before="40" w:after="40" w:line="240" w:lineRule="auto"/>
            </w:pPr>
            <w:r>
              <w:rPr>
                <w:sz w:val="19"/>
              </w:rPr>
              <w:t>Logan, Beenleigh, Browns Plains and Brisbane South East</w:t>
            </w:r>
          </w:p>
        </w:tc>
        <w:tc>
          <w:tcPr>
            <w:tcW w:w="1701" w:type="dxa"/>
          </w:tcPr>
          <w:p w14:paraId="4692C1BD">
            <w:pPr>
              <w:spacing w:before="40" w:after="40" w:line="240" w:lineRule="auto"/>
            </w:pPr>
            <w:r>
              <w:rPr>
                <w:sz w:val="19"/>
              </w:rPr>
              <w:t>1300 114 397; qld@anglicareqld.org.au</w:t>
            </w:r>
          </w:p>
        </w:tc>
        <w:tc>
          <w:tcPr>
            <w:tcW w:w="1304" w:type="dxa"/>
          </w:tcPr>
          <w:p w14:paraId="4A6C78B9">
            <w:pPr>
              <w:spacing w:before="40" w:after="40" w:line="240" w:lineRule="auto"/>
            </w:pPr>
            <w:r>
              <w:rPr>
                <w:sz w:val="19"/>
              </w:rPr>
              <w:t>REQUIRES VERIFICATION — confirm local Logan program contact</w:t>
            </w:r>
          </w:p>
        </w:tc>
      </w:tr>
      <w:tr w14:paraId="6868ED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40" w:type="dxa"/>
            <w:left w:w="80" w:type="dxa"/>
            <w:bottom w:w="40" w:type="dxa"/>
            <w:right w:w="80" w:type="dxa"/>
          </w:tblCellMar>
        </w:tblPrEx>
        <w:trPr>
          <w:jc w:val="center"/>
        </w:trPr>
        <w:tc>
          <w:tcPr>
            <w:tcW w:w="2041" w:type="dxa"/>
            <w:shd w:val="clear" w:color="auto" w:fill="F5F9FC"/>
          </w:tcPr>
          <w:p w14:paraId="4F528870">
            <w:pPr>
              <w:spacing w:before="40" w:after="40" w:line="240" w:lineRule="auto"/>
            </w:pPr>
            <w:r>
              <w:rPr>
                <w:sz w:val="19"/>
              </w:rPr>
              <w:t>Brisbane Youth Service</w:t>
            </w:r>
          </w:p>
        </w:tc>
        <w:tc>
          <w:tcPr>
            <w:tcW w:w="2721" w:type="dxa"/>
          </w:tcPr>
          <w:p w14:paraId="7C97D397">
            <w:pPr>
              <w:spacing w:before="40" w:after="40" w:line="240" w:lineRule="auto"/>
            </w:pPr>
            <w:r>
              <w:rPr>
                <w:sz w:val="19"/>
              </w:rPr>
              <w:t>Youth support services — housing, health, education, employment and wellbeing support for young people aged 12–25 experiencing homelessness or housing instability</w:t>
            </w:r>
          </w:p>
        </w:tc>
        <w:tc>
          <w:tcPr>
            <w:tcW w:w="2268" w:type="dxa"/>
          </w:tcPr>
          <w:p w14:paraId="181525AB">
            <w:pPr>
              <w:spacing w:before="40" w:after="40" w:line="240" w:lineRule="auto"/>
            </w:pPr>
            <w:r>
              <w:rPr>
                <w:sz w:val="19"/>
              </w:rPr>
              <w:t>Brisbane South East and Brisbane metropolitan area</w:t>
            </w:r>
          </w:p>
        </w:tc>
        <w:tc>
          <w:tcPr>
            <w:tcW w:w="1701" w:type="dxa"/>
          </w:tcPr>
          <w:p w14:paraId="2F8BF06E">
            <w:pPr>
              <w:spacing w:before="40" w:after="40" w:line="240" w:lineRule="auto"/>
            </w:pPr>
            <w:r>
              <w:rPr>
                <w:sz w:val="19"/>
              </w:rPr>
              <w:t>07 3620 2400; bsy@bsy.org.au; brisyouth.org</w:t>
            </w:r>
          </w:p>
        </w:tc>
        <w:tc>
          <w:tcPr>
            <w:tcW w:w="1304" w:type="dxa"/>
          </w:tcPr>
          <w:p w14:paraId="07EBB17C">
            <w:pPr>
              <w:spacing w:before="40" w:after="40" w:line="240" w:lineRule="auto"/>
            </w:pPr>
            <w:r>
              <w:rPr>
                <w:sz w:val="19"/>
              </w:rPr>
              <w:t>REQUIRES VERIFICATION — major Brisbane youth homelessness provider</w:t>
            </w:r>
          </w:p>
        </w:tc>
      </w:tr>
    </w:tbl>
    <w:p w14:paraId="1D792343">
      <w:r>
        <w:br w:type="page"/>
      </w:r>
    </w:p>
    <w:p w14:paraId="103A527E">
      <w:pPr>
        <w:pStyle w:val="2"/>
      </w:pPr>
      <w:r>
        <w:rPr>
          <w:color w:val="002B49"/>
        </w:rPr>
        <w:t>13. Collaboration</w:t>
      </w:r>
    </w:p>
    <w:p w14:paraId="10C4BD86">
      <w:pPr>
        <w:spacing w:before="0" w:after="120"/>
      </w:pPr>
      <w:r>
        <w:rPr>
          <w:b w:val="0"/>
          <w:i w:val="0"/>
          <w:sz w:val="21"/>
        </w:rPr>
        <w:t>Collaboration between services is integral to providing holistic and quality services. An important characteristic of delivering a quality service is the ability to create and maintain partnerships and links with other agencies. Partnerships help avoid duplication of effort, develop strong referral pathways, enable collaborative casework strategies and build effective cross-sector capacity.</w:t>
      </w:r>
    </w:p>
    <w:p w14:paraId="172B9F16">
      <w:pPr>
        <w:spacing w:before="0" w:after="120"/>
      </w:pPr>
      <w:r>
        <w:rPr>
          <w:b w:val="0"/>
          <w:i w:val="0"/>
          <w:sz w:val="21"/>
        </w:rPr>
        <w:t>Key stakeholders are those with whom the service provider interacts during service delivery, and the agencies providing incoming and outgoing referrals. Each service is strongly encouraged to establish good working relationships with other agencies, including other SETS providers, HSP providers, AMEP providers, Workforce Australia providers, state-funded employment support, community hubs, schools, Services Australia (including Multicultural Service Officers), community services, youth services, accommodation and refuge services, local government, police and legal services, counselling services and cultural, recreational and sporting groups.</w:t>
      </w:r>
    </w:p>
    <w:p w14:paraId="691DBFDB">
      <w:pPr>
        <w:pStyle w:val="3"/>
      </w:pPr>
      <w:r>
        <w:rPr>
          <w:color w:val="0066CC"/>
        </w:rPr>
        <w:t>13.1 Brisbane South East Local Jobs Program Taskforce</w:t>
      </w:r>
    </w:p>
    <w:p w14:paraId="6E2953F5">
      <w:pPr>
        <w:spacing w:before="0" w:after="120"/>
      </w:pPr>
      <w:r>
        <w:rPr>
          <w:b w:val="0"/>
          <w:i w:val="0"/>
          <w:sz w:val="21"/>
        </w:rPr>
        <w:t>Each Employment Region has its own Local Jobs and Skills Taskforce under Workforce Australia Local Jobs. In Brisbane South East, the Taskforce brings together local stakeholders with demonstrated experience in upskilling, reskilling and the ability to represent, connect and collaborate with others in the region, to meet local labour market needs. The Local Jobs Coordinator and Support Officers bring together businesses, employment services providers, higher education and training organisations (Brisbane South East Local Jobs Plan, July 2025).</w:t>
      </w:r>
    </w:p>
    <w:p w14:paraId="0E26551D">
      <w:pPr>
        <w:pStyle w:val="3"/>
      </w:pPr>
      <w:r>
        <w:rPr>
          <w:color w:val="0066CC"/>
        </w:rPr>
        <w:t>13.2 Multicultural Employment Action Group (MEAG)</w:t>
      </w:r>
    </w:p>
    <w:p w14:paraId="6B229E8A">
      <w:pPr>
        <w:shd w:val="clear" w:color="auto" w:fill="F2F2F2"/>
        <w:spacing w:before="0" w:after="160"/>
      </w:pPr>
      <w:r>
        <w:rPr>
          <w:b w:val="0"/>
          <w:i/>
          <w:color w:val="595959"/>
          <w:sz w:val="19"/>
        </w:rPr>
        <w:t>[Note] HISTORICAL / DRAFT — the following description is drawn from the MEAG Draft Membership EOI dated 9 May 2024 and is provided for stakeholder context. EOI deadlines and draft arrangements in the original document should not be treated as current. Confirm current MEAG membership and arrangements with the Brisbane South East Local Jobs Program.</w:t>
      </w:r>
    </w:p>
    <w:p w14:paraId="45CD9BBC">
      <w:pPr>
        <w:spacing w:before="0" w:after="120"/>
      </w:pPr>
      <w:r>
        <w:rPr>
          <w:b w:val="0"/>
          <w:i w:val="0"/>
          <w:sz w:val="21"/>
        </w:rPr>
        <w:t>The Multicultural Employment Action Group was formed as a sub-group of the Brisbane South East Local Jobs Program Taskforce. The group is centred around collaborative action with a specific focus on employment and retention for multicultural people living in the Brisbane South East Employment Region and looking for work. It does this through program co-design and coordinated referral and support processes.</w:t>
      </w:r>
    </w:p>
    <w:p w14:paraId="1CC6AD36">
      <w:pPr>
        <w:spacing w:before="0" w:after="120"/>
      </w:pPr>
      <w:r>
        <w:rPr>
          <w:b w:val="0"/>
          <w:i w:val="0"/>
          <w:sz w:val="21"/>
        </w:rPr>
        <w:t>The group aims to support stakeholders and CALD participants through access to its collective network across the region, including employment service providers, key multicultural community stakeholders, and local, state and federal government departments. The support the network offers includes engagement of multicultural candidates through multiple avenues and community touchpoints; holistic support of candidates including organisational resources and cultural support from community stakeholders; connection to multicultural businesses (goods and services, cultural training, culturally safe EAP providers); and connection with key multicultural community stakeholders.</w:t>
      </w:r>
    </w:p>
    <w:p w14:paraId="0CE3B323">
      <w:pPr>
        <w:spacing w:before="0" w:after="120"/>
      </w:pPr>
      <w:r>
        <w:rPr>
          <w:b w:val="0"/>
          <w:i w:val="0"/>
          <w:sz w:val="21"/>
        </w:rPr>
        <w:t>In the July 2025 Local Jobs Plan, the Local Jobs Program confirms that a Multicultural Employment Action Group and a First Nations Employment Action Group have been established with key community stakeholder membership to focus on addressing and overcoming challenges to employment such as access to jobs, access to training, negative employer perceptions and low language, literacy and numeracy levels.</w:t>
      </w:r>
    </w:p>
    <w:p w14:paraId="011AFEAF">
      <w:pPr>
        <w:pStyle w:val="3"/>
      </w:pPr>
      <w:r>
        <w:rPr>
          <w:color w:val="0066CC"/>
        </w:rPr>
        <w:t>13.3 Regional Employment Priorities and Collaboration in Action</w:t>
      </w:r>
    </w:p>
    <w:p w14:paraId="721D77A9">
      <w:pPr>
        <w:spacing w:before="0" w:after="120"/>
      </w:pPr>
      <w:r>
        <w:rPr>
          <w:b w:val="0"/>
          <w:i w:val="0"/>
          <w:sz w:val="21"/>
        </w:rPr>
        <w:t>The Brisbane South East Local Jobs Plan (July 2025) sets out three local jobs and skills priorities and the regional response:</w:t>
      </w:r>
    </w:p>
    <w:p w14:paraId="2758B945">
      <w:pPr>
        <w:pStyle w:val="23"/>
        <w:spacing w:before="0" w:after="40"/>
      </w:pPr>
      <w:r>
        <w:rPr>
          <w:b w:val="0"/>
          <w:i w:val="0"/>
          <w:sz w:val="21"/>
        </w:rPr>
        <w:t>Priority 1 — Local workforce activation: developing place-based strategies to meet local employment demand, including wrap-around servicing for First Nations people, people with disabilities, people from culturally diverse backgrounds, mature age workers and youth; consulting with industry; and establishing the First Nations and Multicultural Employment Action Groups and an employment services provider Leaders group.</w:t>
      </w:r>
    </w:p>
    <w:p w14:paraId="26680AC2">
      <w:pPr>
        <w:pStyle w:val="23"/>
        <w:spacing w:before="0" w:after="40"/>
      </w:pPr>
      <w:r>
        <w:rPr>
          <w:b w:val="0"/>
          <w:i w:val="0"/>
          <w:sz w:val="21"/>
        </w:rPr>
        <w:t>Priority 2 — Promotion of pre-employment initiatives, training, upskilling and pre-apprenticeship/apprenticeship opportunities: addressing shortages of work-ready, skilled and qualified workers and tradespeople; a 'train and retain' strategy for newly skilled participants, apprentices and trainees; identifying opportunities in advanced manufacturing, hydrogen/clean energy and technical sectors; and the Brisbane South East Local Jobs Program Bulletin Board to promote employment pathways.</w:t>
      </w:r>
    </w:p>
    <w:p w14:paraId="550F8BAD">
      <w:pPr>
        <w:pStyle w:val="23"/>
        <w:spacing w:before="0" w:after="40"/>
      </w:pPr>
      <w:r>
        <w:rPr>
          <w:b w:val="0"/>
          <w:i w:val="0"/>
          <w:sz w:val="21"/>
        </w:rPr>
        <w:t>Priority 3 — Bridging the gap between people's skills and business requirements: engaging with businesses and industry on job requirements; co-designing pre-employment programs with input from businesses and industry; working with Registered Training Organisations with pre-approval for funding; industry-specific and general job expos; retention and capacity workshops; and analysing provider caseloads by occupation and sub-region.</w:t>
      </w:r>
    </w:p>
    <w:p w14:paraId="596167BE">
      <w:pPr>
        <w:spacing w:before="0" w:after="120"/>
      </w:pPr>
      <w:r>
        <w:rPr>
          <w:b w:val="0"/>
          <w:i w:val="0"/>
          <w:sz w:val="21"/>
        </w:rPr>
        <w:t>Contact for the Brisbane South East Local Jobs Program (July 2025 plan): Simon Nicholls, Brisbane South East Jobs Coordinator — simon.nicholls@mylocaljobsprogram.com.au. (Note: the MEAG draft EOI from May 2024 used a different email address, simon.nicholls@employmentfacilitator.com.au, which is historical.)</w:t>
      </w:r>
    </w:p>
    <w:p w14:paraId="4209EAC2">
      <w:pPr>
        <w:spacing w:before="0" w:after="120"/>
      </w:pPr>
      <w:r>
        <w:rPr>
          <w:b w:val="0"/>
          <w:i w:val="0"/>
          <w:sz w:val="21"/>
        </w:rPr>
        <w:t>See How Services Connect – Quick Glance below for a summary of referral pathways.</w:t>
      </w:r>
    </w:p>
    <w:p w14:paraId="0CAF6620">
      <w:r>
        <w:br w:type="page"/>
      </w:r>
    </w:p>
    <w:p w14:paraId="26C67726">
      <w:pPr>
        <w:pStyle w:val="2"/>
      </w:pPr>
      <w:r>
        <w:rPr>
          <w:color w:val="002B49"/>
        </w:rPr>
        <w:t>14. Resources</w:t>
      </w:r>
    </w:p>
    <w:p w14:paraId="41970101">
      <w:pPr>
        <w:pStyle w:val="3"/>
      </w:pPr>
      <w:r>
        <w:rPr>
          <w:color w:val="0066CC"/>
        </w:rPr>
        <w:t>14.1 Website URLs</w:t>
      </w:r>
    </w:p>
    <w:p w14:paraId="2EA9E736">
      <w:pPr>
        <w:pStyle w:val="4"/>
      </w:pPr>
      <w:r>
        <w:rPr>
          <w:color w:val="006B4F"/>
        </w:rPr>
        <w:t>HSP (Humanitarian Settlement Program)</w:t>
      </w:r>
    </w:p>
    <w:tbl>
      <w:tblPr>
        <w:tblStyle w:val="35"/>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0" w:type="dxa"/>
          <w:left w:w="80" w:type="dxa"/>
          <w:bottom w:w="40" w:type="dxa"/>
          <w:right w:w="80" w:type="dxa"/>
        </w:tblCellMar>
      </w:tblPr>
      <w:tblGrid>
        <w:gridCol w:w="3213"/>
        <w:gridCol w:w="3213"/>
        <w:gridCol w:w="3213"/>
      </w:tblGrid>
      <w:tr w14:paraId="37C493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40" w:type="dxa"/>
            <w:left w:w="80" w:type="dxa"/>
            <w:bottom w:w="40" w:type="dxa"/>
            <w:right w:w="80" w:type="dxa"/>
          </w:tblCellMar>
        </w:tblPrEx>
        <w:trPr>
          <w:tblHeader/>
          <w:jc w:val="center"/>
        </w:trPr>
        <w:tc>
          <w:tcPr>
            <w:tcW w:w="3515" w:type="dxa"/>
            <w:shd w:val="clear" w:color="auto" w:fill="002B49"/>
          </w:tcPr>
          <w:p w14:paraId="19169541">
            <w:pPr>
              <w:spacing w:before="40" w:after="40" w:line="240" w:lineRule="auto"/>
            </w:pPr>
            <w:r>
              <w:rPr>
                <w:b/>
                <w:color w:val="FFFFFF"/>
                <w:sz w:val="19"/>
              </w:rPr>
              <w:t>Title</w:t>
            </w:r>
          </w:p>
        </w:tc>
        <w:tc>
          <w:tcPr>
            <w:tcW w:w="3628" w:type="dxa"/>
            <w:shd w:val="clear" w:color="auto" w:fill="002B49"/>
          </w:tcPr>
          <w:p w14:paraId="120132D9">
            <w:pPr>
              <w:spacing w:before="40" w:after="40" w:line="240" w:lineRule="auto"/>
            </w:pPr>
            <w:r>
              <w:rPr>
                <w:b/>
                <w:color w:val="FFFFFF"/>
                <w:sz w:val="19"/>
              </w:rPr>
              <w:t>Description</w:t>
            </w:r>
          </w:p>
        </w:tc>
        <w:tc>
          <w:tcPr>
            <w:tcW w:w="2665" w:type="dxa"/>
            <w:shd w:val="clear" w:color="auto" w:fill="002B49"/>
          </w:tcPr>
          <w:p w14:paraId="21C943EF">
            <w:pPr>
              <w:spacing w:before="40" w:after="40" w:line="240" w:lineRule="auto"/>
            </w:pPr>
            <w:r>
              <w:rPr>
                <w:b/>
                <w:color w:val="FFFFFF"/>
                <w:sz w:val="19"/>
              </w:rPr>
              <w:t>URL</w:t>
            </w:r>
          </w:p>
        </w:tc>
      </w:tr>
      <w:tr w14:paraId="647440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40" w:type="dxa"/>
            <w:left w:w="80" w:type="dxa"/>
            <w:bottom w:w="40" w:type="dxa"/>
            <w:right w:w="80" w:type="dxa"/>
          </w:tblCellMar>
        </w:tblPrEx>
        <w:trPr>
          <w:jc w:val="center"/>
        </w:trPr>
        <w:tc>
          <w:tcPr>
            <w:tcW w:w="3515" w:type="dxa"/>
            <w:shd w:val="clear" w:color="auto" w:fill="F5F9FC"/>
          </w:tcPr>
          <w:p w14:paraId="06BB4906">
            <w:pPr>
              <w:spacing w:before="40" w:after="40" w:line="240" w:lineRule="auto"/>
            </w:pPr>
            <w:r>
              <w:rPr>
                <w:sz w:val="19"/>
              </w:rPr>
              <w:t>Humanitarian Settlement Program (Home Affairs)</w:t>
            </w:r>
          </w:p>
        </w:tc>
        <w:tc>
          <w:tcPr>
            <w:tcW w:w="3628" w:type="dxa"/>
          </w:tcPr>
          <w:p w14:paraId="25F3F487">
            <w:pPr>
              <w:spacing w:before="40" w:after="40" w:line="240" w:lineRule="auto"/>
            </w:pPr>
            <w:r>
              <w:rPr>
                <w:sz w:val="19"/>
              </w:rPr>
              <w:t>Official program information for the Humanitarian Settlement Program.</w:t>
            </w:r>
          </w:p>
        </w:tc>
        <w:tc>
          <w:tcPr>
            <w:tcW w:w="2665" w:type="dxa"/>
          </w:tcPr>
          <w:p w14:paraId="441078C2">
            <w:pPr>
              <w:spacing w:before="40" w:after="40" w:line="240" w:lineRule="auto"/>
            </w:pPr>
            <w:r>
              <w:fldChar w:fldCharType="begin"/>
            </w:r>
            <w:r>
              <w:instrText xml:space="preserve"> HYPERLINK "https://immi.homeaffairs.gov.au/settling-in-australia/humanitarian-settlement-program" \h </w:instrText>
            </w:r>
            <w:r>
              <w:fldChar w:fldCharType="separate"/>
            </w:r>
            <w:r>
              <w:rPr>
                <w:rFonts w:ascii="Calibri" w:hAnsi="Calibri"/>
                <w:color w:val="0066CC"/>
                <w:sz w:val="19"/>
                <w:u w:val="single"/>
              </w:rPr>
              <w:t>https://immi.homeaffairs.gov.au/settling-in-australia/humanitarian-settlement-program</w:t>
            </w:r>
            <w:r>
              <w:rPr>
                <w:rFonts w:ascii="Calibri" w:hAnsi="Calibri"/>
                <w:color w:val="0066CC"/>
                <w:sz w:val="19"/>
                <w:u w:val="single"/>
              </w:rPr>
              <w:fldChar w:fldCharType="end"/>
            </w:r>
          </w:p>
        </w:tc>
      </w:tr>
      <w:tr w14:paraId="7F456C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40" w:type="dxa"/>
            <w:left w:w="80" w:type="dxa"/>
            <w:bottom w:w="40" w:type="dxa"/>
            <w:right w:w="80" w:type="dxa"/>
          </w:tblCellMar>
        </w:tblPrEx>
        <w:trPr>
          <w:jc w:val="center"/>
        </w:trPr>
        <w:tc>
          <w:tcPr>
            <w:tcW w:w="3515" w:type="dxa"/>
            <w:shd w:val="clear" w:color="auto" w:fill="F5F9FC"/>
          </w:tcPr>
          <w:p w14:paraId="0F1A1558">
            <w:pPr>
              <w:spacing w:before="40" w:after="40" w:line="240" w:lineRule="auto"/>
            </w:pPr>
            <w:r>
              <w:rPr>
                <w:sz w:val="19"/>
              </w:rPr>
              <w:t>HSP — About the Program</w:t>
            </w:r>
          </w:p>
        </w:tc>
        <w:tc>
          <w:tcPr>
            <w:tcW w:w="3628" w:type="dxa"/>
          </w:tcPr>
          <w:p w14:paraId="1CF9A159">
            <w:pPr>
              <w:spacing w:before="40" w:after="40" w:line="240" w:lineRule="auto"/>
            </w:pPr>
            <w:r>
              <w:rPr>
                <w:sz w:val="19"/>
              </w:rPr>
              <w:t>Program purpose, eligibility and support overview.</w:t>
            </w:r>
          </w:p>
        </w:tc>
        <w:tc>
          <w:tcPr>
            <w:tcW w:w="2665" w:type="dxa"/>
          </w:tcPr>
          <w:p w14:paraId="2D7C9DA1">
            <w:pPr>
              <w:spacing w:before="40" w:after="40" w:line="240" w:lineRule="auto"/>
            </w:pPr>
            <w:r>
              <w:fldChar w:fldCharType="begin"/>
            </w:r>
            <w:r>
              <w:instrText xml:space="preserve"> HYPERLINK "https://immi.homeaffairs.gov.au/settling-in-australia/humanitarian-settlement-program/about-the-program" \h </w:instrText>
            </w:r>
            <w:r>
              <w:fldChar w:fldCharType="separate"/>
            </w:r>
            <w:r>
              <w:rPr>
                <w:rFonts w:ascii="Calibri" w:hAnsi="Calibri"/>
                <w:color w:val="0066CC"/>
                <w:sz w:val="19"/>
                <w:u w:val="single"/>
              </w:rPr>
              <w:t>https://immi.homeaffairs.gov.au/settling-in-australia/humanitarian-settlement-program/about-the-program</w:t>
            </w:r>
            <w:r>
              <w:rPr>
                <w:rFonts w:ascii="Calibri" w:hAnsi="Calibri"/>
                <w:color w:val="0066CC"/>
                <w:sz w:val="19"/>
                <w:u w:val="single"/>
              </w:rPr>
              <w:fldChar w:fldCharType="end"/>
            </w:r>
          </w:p>
        </w:tc>
      </w:tr>
      <w:tr w14:paraId="593372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40" w:type="dxa"/>
            <w:left w:w="80" w:type="dxa"/>
            <w:bottom w:w="40" w:type="dxa"/>
            <w:right w:w="80" w:type="dxa"/>
          </w:tblCellMar>
        </w:tblPrEx>
        <w:trPr>
          <w:jc w:val="center"/>
        </w:trPr>
        <w:tc>
          <w:tcPr>
            <w:tcW w:w="3515" w:type="dxa"/>
            <w:shd w:val="clear" w:color="auto" w:fill="F5F9FC"/>
          </w:tcPr>
          <w:p w14:paraId="3FB80B10">
            <w:pPr>
              <w:spacing w:before="40" w:after="40" w:line="240" w:lineRule="auto"/>
            </w:pPr>
            <w:r>
              <w:rPr>
                <w:sz w:val="19"/>
              </w:rPr>
              <w:t>HSP — Service Providers</w:t>
            </w:r>
          </w:p>
        </w:tc>
        <w:tc>
          <w:tcPr>
            <w:tcW w:w="3628" w:type="dxa"/>
          </w:tcPr>
          <w:p w14:paraId="610D25C0">
            <w:pPr>
              <w:spacing w:before="40" w:after="40" w:line="240" w:lineRule="auto"/>
            </w:pPr>
            <w:r>
              <w:rPr>
                <w:sz w:val="19"/>
              </w:rPr>
              <w:t>List of HSP providers across Australia.</w:t>
            </w:r>
          </w:p>
        </w:tc>
        <w:tc>
          <w:tcPr>
            <w:tcW w:w="2665" w:type="dxa"/>
          </w:tcPr>
          <w:p w14:paraId="229C9689">
            <w:pPr>
              <w:spacing w:before="40" w:after="40" w:line="240" w:lineRule="auto"/>
            </w:pPr>
            <w:r>
              <w:fldChar w:fldCharType="begin"/>
            </w:r>
            <w:r>
              <w:instrText xml:space="preserve"> HYPERLINK "https://immi.homeaffairs.gov.au/settling-in-australia/humanitarian-settlement-program/service-providers" \h </w:instrText>
            </w:r>
            <w:r>
              <w:fldChar w:fldCharType="separate"/>
            </w:r>
            <w:r>
              <w:rPr>
                <w:rFonts w:ascii="Calibri" w:hAnsi="Calibri"/>
                <w:color w:val="0066CC"/>
                <w:sz w:val="19"/>
                <w:u w:val="single"/>
              </w:rPr>
              <w:t>https://immi.homeaffairs.gov.au/settling-in-australia/humanitarian-settlement-program/service-providers</w:t>
            </w:r>
            <w:r>
              <w:rPr>
                <w:rFonts w:ascii="Calibri" w:hAnsi="Calibri"/>
                <w:color w:val="0066CC"/>
                <w:sz w:val="19"/>
                <w:u w:val="single"/>
              </w:rPr>
              <w:fldChar w:fldCharType="end"/>
            </w:r>
          </w:p>
        </w:tc>
      </w:tr>
      <w:tr w14:paraId="5700C9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40" w:type="dxa"/>
            <w:left w:w="80" w:type="dxa"/>
            <w:bottom w:w="40" w:type="dxa"/>
            <w:right w:w="80" w:type="dxa"/>
          </w:tblCellMar>
        </w:tblPrEx>
        <w:trPr>
          <w:jc w:val="center"/>
        </w:trPr>
        <w:tc>
          <w:tcPr>
            <w:tcW w:w="3515" w:type="dxa"/>
            <w:shd w:val="clear" w:color="auto" w:fill="F5F9FC"/>
          </w:tcPr>
          <w:p w14:paraId="1D93411C">
            <w:pPr>
              <w:spacing w:before="40" w:after="40" w:line="240" w:lineRule="auto"/>
            </w:pPr>
            <w:r>
              <w:rPr>
                <w:sz w:val="19"/>
              </w:rPr>
              <w:t>Specialised and Intensive Services (SIS)</w:t>
            </w:r>
          </w:p>
        </w:tc>
        <w:tc>
          <w:tcPr>
            <w:tcW w:w="3628" w:type="dxa"/>
          </w:tcPr>
          <w:p w14:paraId="3E5F444E">
            <w:pPr>
              <w:spacing w:before="40" w:after="40" w:line="240" w:lineRule="auto"/>
            </w:pPr>
            <w:r>
              <w:rPr>
                <w:sz w:val="19"/>
              </w:rPr>
              <w:t>Extra support for humanitarian entrants with complex needs.</w:t>
            </w:r>
          </w:p>
        </w:tc>
        <w:tc>
          <w:tcPr>
            <w:tcW w:w="2665" w:type="dxa"/>
          </w:tcPr>
          <w:p w14:paraId="4F454FFF">
            <w:pPr>
              <w:spacing w:before="40" w:after="40" w:line="240" w:lineRule="auto"/>
            </w:pPr>
            <w:r>
              <w:fldChar w:fldCharType="begin"/>
            </w:r>
            <w:r>
              <w:instrText xml:space="preserve"> HYPERLINK "https://immi.homeaffairs.gov.au/settling-in-australia/humanitarian-settlement-program/specialised-and-intensive-services" \h </w:instrText>
            </w:r>
            <w:r>
              <w:fldChar w:fldCharType="separate"/>
            </w:r>
            <w:r>
              <w:rPr>
                <w:rFonts w:ascii="Calibri" w:hAnsi="Calibri"/>
                <w:color w:val="0066CC"/>
                <w:sz w:val="19"/>
                <w:u w:val="single"/>
              </w:rPr>
              <w:t>https://immi.homeaffairs.gov.au/settling-in-australia/humanitarian-settlement-program/specialised-and-intensive-services</w:t>
            </w:r>
            <w:r>
              <w:rPr>
                <w:rFonts w:ascii="Calibri" w:hAnsi="Calibri"/>
                <w:color w:val="0066CC"/>
                <w:sz w:val="19"/>
                <w:u w:val="single"/>
              </w:rPr>
              <w:fldChar w:fldCharType="end"/>
            </w:r>
          </w:p>
        </w:tc>
      </w:tr>
      <w:tr w14:paraId="7065DA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40" w:type="dxa"/>
            <w:left w:w="80" w:type="dxa"/>
            <w:bottom w:w="40" w:type="dxa"/>
            <w:right w:w="80" w:type="dxa"/>
          </w:tblCellMar>
        </w:tblPrEx>
        <w:trPr>
          <w:jc w:val="center"/>
        </w:trPr>
        <w:tc>
          <w:tcPr>
            <w:tcW w:w="3515" w:type="dxa"/>
            <w:shd w:val="clear" w:color="auto" w:fill="F5F9FC"/>
          </w:tcPr>
          <w:p w14:paraId="1C22B9D8">
            <w:pPr>
              <w:spacing w:before="40" w:after="40" w:line="240" w:lineRule="auto"/>
            </w:pPr>
            <w:r>
              <w:rPr>
                <w:sz w:val="19"/>
              </w:rPr>
              <w:t>Community Support Program (Home Affairs)</w:t>
            </w:r>
          </w:p>
        </w:tc>
        <w:tc>
          <w:tcPr>
            <w:tcW w:w="3628" w:type="dxa"/>
          </w:tcPr>
          <w:p w14:paraId="3ED1C7F5">
            <w:pPr>
              <w:spacing w:before="40" w:after="40" w:line="240" w:lineRule="auto"/>
            </w:pPr>
            <w:r>
              <w:rPr>
                <w:sz w:val="19"/>
              </w:rPr>
              <w:t>Allows individuals and businesses to support refugee resettlement.</w:t>
            </w:r>
          </w:p>
        </w:tc>
        <w:tc>
          <w:tcPr>
            <w:tcW w:w="2665" w:type="dxa"/>
          </w:tcPr>
          <w:p w14:paraId="1F03D700">
            <w:pPr>
              <w:spacing w:before="40" w:after="40" w:line="240" w:lineRule="auto"/>
            </w:pPr>
            <w:r>
              <w:fldChar w:fldCharType="begin"/>
            </w:r>
            <w:r>
              <w:instrText xml:space="preserve"> HYPERLINK "https://immi.homeaffairs.gov.au/what-we-do/refugee-and-humanitarian-program/community-support-program" \h </w:instrText>
            </w:r>
            <w:r>
              <w:fldChar w:fldCharType="separate"/>
            </w:r>
            <w:r>
              <w:rPr>
                <w:rFonts w:ascii="Calibri" w:hAnsi="Calibri"/>
                <w:color w:val="0066CC"/>
                <w:sz w:val="19"/>
                <w:u w:val="single"/>
              </w:rPr>
              <w:t>https://immi.homeaffairs.gov.au/what-we-do/refugee-and-humanitarian-program/community-support-program</w:t>
            </w:r>
            <w:r>
              <w:rPr>
                <w:rFonts w:ascii="Calibri" w:hAnsi="Calibri"/>
                <w:color w:val="0066CC"/>
                <w:sz w:val="19"/>
                <w:u w:val="single"/>
              </w:rPr>
              <w:fldChar w:fldCharType="end"/>
            </w:r>
          </w:p>
        </w:tc>
      </w:tr>
      <w:tr w14:paraId="4CBAB4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40" w:type="dxa"/>
            <w:left w:w="80" w:type="dxa"/>
            <w:bottom w:w="40" w:type="dxa"/>
            <w:right w:w="80" w:type="dxa"/>
          </w:tblCellMar>
        </w:tblPrEx>
        <w:trPr>
          <w:jc w:val="center"/>
        </w:trPr>
        <w:tc>
          <w:tcPr>
            <w:tcW w:w="3515" w:type="dxa"/>
            <w:shd w:val="clear" w:color="auto" w:fill="F5F9FC"/>
          </w:tcPr>
          <w:p w14:paraId="02F8A102">
            <w:pPr>
              <w:spacing w:before="40" w:after="40" w:line="240" w:lineRule="auto"/>
            </w:pPr>
            <w:r>
              <w:rPr>
                <w:sz w:val="19"/>
              </w:rPr>
              <w:t>Multicultural Australia — HSP</w:t>
            </w:r>
          </w:p>
        </w:tc>
        <w:tc>
          <w:tcPr>
            <w:tcW w:w="3628" w:type="dxa"/>
          </w:tcPr>
          <w:p w14:paraId="67B3C432">
            <w:pPr>
              <w:spacing w:before="40" w:after="40" w:line="240" w:lineRule="auto"/>
            </w:pPr>
            <w:r>
              <w:rPr>
                <w:sz w:val="19"/>
              </w:rPr>
              <w:t>Regional HSP provider page (Brisbane and Surrounds contract region).</w:t>
            </w:r>
          </w:p>
        </w:tc>
        <w:tc>
          <w:tcPr>
            <w:tcW w:w="2665" w:type="dxa"/>
          </w:tcPr>
          <w:p w14:paraId="778E3D7D">
            <w:pPr>
              <w:spacing w:before="40" w:after="40" w:line="240" w:lineRule="auto"/>
            </w:pPr>
            <w:r>
              <w:fldChar w:fldCharType="begin"/>
            </w:r>
            <w:r>
              <w:instrText xml:space="preserve"> HYPERLINK "https://www.multiculturalaustralia.org.au/settlement/humanitarian-settlement-program/" \h </w:instrText>
            </w:r>
            <w:r>
              <w:fldChar w:fldCharType="separate"/>
            </w:r>
            <w:r>
              <w:rPr>
                <w:rFonts w:ascii="Calibri" w:hAnsi="Calibri"/>
                <w:color w:val="0066CC"/>
                <w:sz w:val="19"/>
                <w:u w:val="single"/>
              </w:rPr>
              <w:t>https://www.multiculturalaustralia.org.au/settlement/humanitarian-settlement-program/</w:t>
            </w:r>
            <w:r>
              <w:rPr>
                <w:rFonts w:ascii="Calibri" w:hAnsi="Calibri"/>
                <w:color w:val="0066CC"/>
                <w:sz w:val="19"/>
                <w:u w:val="single"/>
              </w:rPr>
              <w:fldChar w:fldCharType="end"/>
            </w:r>
          </w:p>
        </w:tc>
      </w:tr>
    </w:tbl>
    <w:p w14:paraId="583E081D">
      <w:pPr>
        <w:pStyle w:val="4"/>
      </w:pPr>
      <w:r>
        <w:rPr>
          <w:color w:val="006B4F"/>
        </w:rPr>
        <w:t>Services Australia</w:t>
      </w:r>
    </w:p>
    <w:tbl>
      <w:tblPr>
        <w:tblStyle w:val="35"/>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0" w:type="dxa"/>
          <w:left w:w="80" w:type="dxa"/>
          <w:bottom w:w="40" w:type="dxa"/>
          <w:right w:w="80" w:type="dxa"/>
        </w:tblCellMar>
      </w:tblPr>
      <w:tblGrid>
        <w:gridCol w:w="3213"/>
        <w:gridCol w:w="3213"/>
        <w:gridCol w:w="3213"/>
      </w:tblGrid>
      <w:tr w14:paraId="15EC67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40" w:type="dxa"/>
            <w:left w:w="80" w:type="dxa"/>
            <w:bottom w:w="40" w:type="dxa"/>
            <w:right w:w="80" w:type="dxa"/>
          </w:tblCellMar>
        </w:tblPrEx>
        <w:trPr>
          <w:tblHeader/>
          <w:jc w:val="center"/>
        </w:trPr>
        <w:tc>
          <w:tcPr>
            <w:tcW w:w="3515" w:type="dxa"/>
            <w:shd w:val="clear" w:color="auto" w:fill="002B49"/>
          </w:tcPr>
          <w:p w14:paraId="76C3EC47">
            <w:pPr>
              <w:spacing w:before="40" w:after="40" w:line="240" w:lineRule="auto"/>
            </w:pPr>
            <w:r>
              <w:rPr>
                <w:b/>
                <w:color w:val="FFFFFF"/>
                <w:sz w:val="19"/>
              </w:rPr>
              <w:t>Title</w:t>
            </w:r>
          </w:p>
        </w:tc>
        <w:tc>
          <w:tcPr>
            <w:tcW w:w="3628" w:type="dxa"/>
            <w:shd w:val="clear" w:color="auto" w:fill="002B49"/>
          </w:tcPr>
          <w:p w14:paraId="1A42C0B4">
            <w:pPr>
              <w:spacing w:before="40" w:after="40" w:line="240" w:lineRule="auto"/>
            </w:pPr>
            <w:r>
              <w:rPr>
                <w:b/>
                <w:color w:val="FFFFFF"/>
                <w:sz w:val="19"/>
              </w:rPr>
              <w:t>Description</w:t>
            </w:r>
          </w:p>
        </w:tc>
        <w:tc>
          <w:tcPr>
            <w:tcW w:w="2665" w:type="dxa"/>
            <w:shd w:val="clear" w:color="auto" w:fill="002B49"/>
          </w:tcPr>
          <w:p w14:paraId="0D74745B">
            <w:pPr>
              <w:spacing w:before="40" w:after="40" w:line="240" w:lineRule="auto"/>
            </w:pPr>
            <w:r>
              <w:rPr>
                <w:b/>
                <w:color w:val="FFFFFF"/>
                <w:sz w:val="19"/>
              </w:rPr>
              <w:t>URL</w:t>
            </w:r>
          </w:p>
        </w:tc>
      </w:tr>
      <w:tr w14:paraId="410F79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40" w:type="dxa"/>
            <w:left w:w="80" w:type="dxa"/>
            <w:bottom w:w="40" w:type="dxa"/>
            <w:right w:w="80" w:type="dxa"/>
          </w:tblCellMar>
        </w:tblPrEx>
        <w:trPr>
          <w:jc w:val="center"/>
        </w:trPr>
        <w:tc>
          <w:tcPr>
            <w:tcW w:w="3515" w:type="dxa"/>
            <w:shd w:val="clear" w:color="auto" w:fill="F5F9FC"/>
          </w:tcPr>
          <w:p w14:paraId="280425AE">
            <w:pPr>
              <w:spacing w:before="40" w:after="40" w:line="240" w:lineRule="auto"/>
            </w:pPr>
            <w:r>
              <w:rPr>
                <w:sz w:val="19"/>
              </w:rPr>
              <w:t>Multicultural Service Officers</w:t>
            </w:r>
          </w:p>
        </w:tc>
        <w:tc>
          <w:tcPr>
            <w:tcW w:w="3628" w:type="dxa"/>
          </w:tcPr>
          <w:p w14:paraId="55A363F9">
            <w:pPr>
              <w:spacing w:before="40" w:after="40" w:line="240" w:lineRule="auto"/>
            </w:pPr>
            <w:r>
              <w:rPr>
                <w:sz w:val="19"/>
              </w:rPr>
              <w:t>How MSOs help migrants and refugees engage with Services Australia services.</w:t>
            </w:r>
          </w:p>
        </w:tc>
        <w:tc>
          <w:tcPr>
            <w:tcW w:w="2665" w:type="dxa"/>
          </w:tcPr>
          <w:p w14:paraId="79DF2811">
            <w:pPr>
              <w:spacing w:before="40" w:after="40" w:line="240" w:lineRule="auto"/>
            </w:pPr>
            <w:r>
              <w:fldChar w:fldCharType="begin"/>
            </w:r>
            <w:r>
              <w:instrText xml:space="preserve"> HYPERLINK "https://www.servicesaustralia.gov.au/multicultural-service-officers" \h </w:instrText>
            </w:r>
            <w:r>
              <w:fldChar w:fldCharType="separate"/>
            </w:r>
            <w:r>
              <w:rPr>
                <w:rFonts w:ascii="Calibri" w:hAnsi="Calibri"/>
                <w:color w:val="0066CC"/>
                <w:sz w:val="19"/>
                <w:u w:val="single"/>
              </w:rPr>
              <w:t>https://www.servicesaustralia.gov.au/multicultural-service-officers</w:t>
            </w:r>
            <w:r>
              <w:rPr>
                <w:rFonts w:ascii="Calibri" w:hAnsi="Calibri"/>
                <w:color w:val="0066CC"/>
                <w:sz w:val="19"/>
                <w:u w:val="single"/>
              </w:rPr>
              <w:fldChar w:fldCharType="end"/>
            </w:r>
          </w:p>
        </w:tc>
      </w:tr>
      <w:tr w14:paraId="111394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40" w:type="dxa"/>
            <w:left w:w="80" w:type="dxa"/>
            <w:bottom w:w="40" w:type="dxa"/>
            <w:right w:w="80" w:type="dxa"/>
          </w:tblCellMar>
        </w:tblPrEx>
        <w:trPr>
          <w:jc w:val="center"/>
        </w:trPr>
        <w:tc>
          <w:tcPr>
            <w:tcW w:w="3515" w:type="dxa"/>
            <w:shd w:val="clear" w:color="auto" w:fill="F5F9FC"/>
          </w:tcPr>
          <w:p w14:paraId="1A3FDF30">
            <w:pPr>
              <w:spacing w:before="40" w:after="40" w:line="240" w:lineRule="auto"/>
            </w:pPr>
            <w:r>
              <w:rPr>
                <w:sz w:val="19"/>
              </w:rPr>
              <w:t>Medicare Enrolment Form (MS004)</w:t>
            </w:r>
          </w:p>
        </w:tc>
        <w:tc>
          <w:tcPr>
            <w:tcW w:w="3628" w:type="dxa"/>
          </w:tcPr>
          <w:p w14:paraId="33D8562F">
            <w:pPr>
              <w:spacing w:before="40" w:after="40" w:line="240" w:lineRule="auto"/>
            </w:pPr>
            <w:r>
              <w:rPr>
                <w:sz w:val="19"/>
              </w:rPr>
              <w:t>Form to enrol in Medicare.</w:t>
            </w:r>
          </w:p>
        </w:tc>
        <w:tc>
          <w:tcPr>
            <w:tcW w:w="2665" w:type="dxa"/>
          </w:tcPr>
          <w:p w14:paraId="48F19654">
            <w:pPr>
              <w:spacing w:before="40" w:after="40" w:line="240" w:lineRule="auto"/>
            </w:pPr>
            <w:r>
              <w:fldChar w:fldCharType="begin"/>
            </w:r>
            <w:r>
              <w:instrText xml:space="preserve"> HYPERLINK "https://www.servicesaustralia.gov.au/ms004" \h </w:instrText>
            </w:r>
            <w:r>
              <w:fldChar w:fldCharType="separate"/>
            </w:r>
            <w:r>
              <w:rPr>
                <w:rFonts w:ascii="Calibri" w:hAnsi="Calibri"/>
                <w:color w:val="0066CC"/>
                <w:sz w:val="19"/>
                <w:u w:val="single"/>
              </w:rPr>
              <w:t>https://www.servicesaustralia.gov.au/ms004</w:t>
            </w:r>
            <w:r>
              <w:rPr>
                <w:rFonts w:ascii="Calibri" w:hAnsi="Calibri"/>
                <w:color w:val="0066CC"/>
                <w:sz w:val="19"/>
                <w:u w:val="single"/>
              </w:rPr>
              <w:fldChar w:fldCharType="end"/>
            </w:r>
          </w:p>
        </w:tc>
      </w:tr>
      <w:tr w14:paraId="754155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40" w:type="dxa"/>
            <w:left w:w="80" w:type="dxa"/>
            <w:bottom w:w="40" w:type="dxa"/>
            <w:right w:w="80" w:type="dxa"/>
          </w:tblCellMar>
        </w:tblPrEx>
        <w:trPr>
          <w:jc w:val="center"/>
        </w:trPr>
        <w:tc>
          <w:tcPr>
            <w:tcW w:w="3515" w:type="dxa"/>
            <w:shd w:val="clear" w:color="auto" w:fill="F5F9FC"/>
          </w:tcPr>
          <w:p w14:paraId="0ADF4F48">
            <w:pPr>
              <w:spacing w:before="40" w:after="40" w:line="240" w:lineRule="auto"/>
            </w:pPr>
            <w:r>
              <w:rPr>
                <w:sz w:val="19"/>
              </w:rPr>
              <w:t>Notification of Refugee Arrival Form (SS459)</w:t>
            </w:r>
          </w:p>
        </w:tc>
        <w:tc>
          <w:tcPr>
            <w:tcW w:w="3628" w:type="dxa"/>
          </w:tcPr>
          <w:p w14:paraId="630F88AE">
            <w:pPr>
              <w:spacing w:before="40" w:after="40" w:line="240" w:lineRule="auto"/>
            </w:pPr>
            <w:r>
              <w:rPr>
                <w:sz w:val="19"/>
              </w:rPr>
              <w:t>Form to notify Services Australia of refugee arrival.</w:t>
            </w:r>
          </w:p>
        </w:tc>
        <w:tc>
          <w:tcPr>
            <w:tcW w:w="2665" w:type="dxa"/>
          </w:tcPr>
          <w:p w14:paraId="0D9E2720">
            <w:pPr>
              <w:spacing w:before="40" w:after="40" w:line="240" w:lineRule="auto"/>
            </w:pPr>
            <w:r>
              <w:fldChar w:fldCharType="begin"/>
            </w:r>
            <w:r>
              <w:instrText xml:space="preserve"> HYPERLINK "https://www.servicesaustralia.gov.au/ss459" \h </w:instrText>
            </w:r>
            <w:r>
              <w:fldChar w:fldCharType="separate"/>
            </w:r>
            <w:r>
              <w:rPr>
                <w:rFonts w:ascii="Calibri" w:hAnsi="Calibri"/>
                <w:color w:val="0066CC"/>
                <w:sz w:val="19"/>
                <w:u w:val="single"/>
              </w:rPr>
              <w:t>https://www.servicesaustralia.gov.au/ss459</w:t>
            </w:r>
            <w:r>
              <w:rPr>
                <w:rFonts w:ascii="Calibri" w:hAnsi="Calibri"/>
                <w:color w:val="0066CC"/>
                <w:sz w:val="19"/>
                <w:u w:val="single"/>
              </w:rPr>
              <w:fldChar w:fldCharType="end"/>
            </w:r>
          </w:p>
        </w:tc>
      </w:tr>
      <w:tr w14:paraId="00949C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40" w:type="dxa"/>
            <w:left w:w="80" w:type="dxa"/>
            <w:bottom w:w="40" w:type="dxa"/>
            <w:right w:w="80" w:type="dxa"/>
          </w:tblCellMar>
        </w:tblPrEx>
        <w:trPr>
          <w:jc w:val="center"/>
        </w:trPr>
        <w:tc>
          <w:tcPr>
            <w:tcW w:w="3515" w:type="dxa"/>
            <w:shd w:val="clear" w:color="auto" w:fill="F5F9FC"/>
          </w:tcPr>
          <w:p w14:paraId="7FDFDDDE">
            <w:pPr>
              <w:spacing w:before="40" w:after="40" w:line="240" w:lineRule="auto"/>
            </w:pPr>
            <w:r>
              <w:rPr>
                <w:sz w:val="19"/>
              </w:rPr>
              <w:t>Claim for persons granted a refugee, Humanitarian or Protection Visa form (SS415)</w:t>
            </w:r>
          </w:p>
        </w:tc>
        <w:tc>
          <w:tcPr>
            <w:tcW w:w="3628" w:type="dxa"/>
          </w:tcPr>
          <w:p w14:paraId="2D10B706">
            <w:pPr>
              <w:spacing w:before="40" w:after="40" w:line="240" w:lineRule="auto"/>
            </w:pPr>
            <w:r>
              <w:rPr>
                <w:sz w:val="19"/>
              </w:rPr>
              <w:t>To claim payments for those granted refugee, humanitarian or protection visas.</w:t>
            </w:r>
          </w:p>
        </w:tc>
        <w:tc>
          <w:tcPr>
            <w:tcW w:w="2665" w:type="dxa"/>
          </w:tcPr>
          <w:p w14:paraId="0E0AABAD">
            <w:pPr>
              <w:spacing w:before="40" w:after="40" w:line="240" w:lineRule="auto"/>
            </w:pPr>
            <w:r>
              <w:fldChar w:fldCharType="begin"/>
            </w:r>
            <w:r>
              <w:instrText xml:space="preserve"> HYPERLINK "https://www.servicesaustralia.gov.au/ss415" \h </w:instrText>
            </w:r>
            <w:r>
              <w:fldChar w:fldCharType="separate"/>
            </w:r>
            <w:r>
              <w:rPr>
                <w:rFonts w:ascii="Calibri" w:hAnsi="Calibri"/>
                <w:color w:val="0066CC"/>
                <w:sz w:val="19"/>
                <w:u w:val="single"/>
              </w:rPr>
              <w:t>https://www.servicesaustralia.gov.au/ss415</w:t>
            </w:r>
            <w:r>
              <w:rPr>
                <w:rFonts w:ascii="Calibri" w:hAnsi="Calibri"/>
                <w:color w:val="0066CC"/>
                <w:sz w:val="19"/>
                <w:u w:val="single"/>
              </w:rPr>
              <w:fldChar w:fldCharType="end"/>
            </w:r>
          </w:p>
        </w:tc>
      </w:tr>
      <w:tr w14:paraId="14B647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40" w:type="dxa"/>
            <w:left w:w="80" w:type="dxa"/>
            <w:bottom w:w="40" w:type="dxa"/>
            <w:right w:w="80" w:type="dxa"/>
          </w:tblCellMar>
        </w:tblPrEx>
        <w:trPr>
          <w:jc w:val="center"/>
        </w:trPr>
        <w:tc>
          <w:tcPr>
            <w:tcW w:w="3515" w:type="dxa"/>
            <w:shd w:val="clear" w:color="auto" w:fill="F5F9FC"/>
          </w:tcPr>
          <w:p w14:paraId="0F8E9096">
            <w:pPr>
              <w:spacing w:before="40" w:after="40" w:line="240" w:lineRule="auto"/>
            </w:pPr>
            <w:r>
              <w:rPr>
                <w:sz w:val="19"/>
              </w:rPr>
              <w:t>Verification of medical conditions form (SU684)</w:t>
            </w:r>
          </w:p>
        </w:tc>
        <w:tc>
          <w:tcPr>
            <w:tcW w:w="3628" w:type="dxa"/>
          </w:tcPr>
          <w:p w14:paraId="6FC48D09">
            <w:pPr>
              <w:spacing w:before="40" w:after="40" w:line="240" w:lineRule="auto"/>
            </w:pPr>
            <w:r>
              <w:rPr>
                <w:sz w:val="19"/>
              </w:rPr>
              <w:t>Services Australia form to verify medical conditions.</w:t>
            </w:r>
          </w:p>
        </w:tc>
        <w:tc>
          <w:tcPr>
            <w:tcW w:w="2665" w:type="dxa"/>
          </w:tcPr>
          <w:p w14:paraId="1C79F1A3">
            <w:pPr>
              <w:spacing w:before="40" w:after="40" w:line="240" w:lineRule="auto"/>
            </w:pPr>
            <w:r>
              <w:fldChar w:fldCharType="begin"/>
            </w:r>
            <w:r>
              <w:instrText xml:space="preserve"> HYPERLINK "https://www.servicesaustralia.gov.au/su684" \h </w:instrText>
            </w:r>
            <w:r>
              <w:fldChar w:fldCharType="separate"/>
            </w:r>
            <w:r>
              <w:rPr>
                <w:rFonts w:ascii="Calibri" w:hAnsi="Calibri"/>
                <w:color w:val="0066CC"/>
                <w:sz w:val="19"/>
                <w:u w:val="single"/>
              </w:rPr>
              <w:t>https://www.servicesaustralia.gov.au/su684</w:t>
            </w:r>
            <w:r>
              <w:rPr>
                <w:rFonts w:ascii="Calibri" w:hAnsi="Calibri"/>
                <w:color w:val="0066CC"/>
                <w:sz w:val="19"/>
                <w:u w:val="single"/>
              </w:rPr>
              <w:fldChar w:fldCharType="end"/>
            </w:r>
          </w:p>
        </w:tc>
      </w:tr>
      <w:tr w14:paraId="09AF42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40" w:type="dxa"/>
            <w:left w:w="80" w:type="dxa"/>
            <w:bottom w:w="40" w:type="dxa"/>
            <w:right w:w="80" w:type="dxa"/>
          </w:tblCellMar>
        </w:tblPrEx>
        <w:trPr>
          <w:jc w:val="center"/>
        </w:trPr>
        <w:tc>
          <w:tcPr>
            <w:tcW w:w="3515" w:type="dxa"/>
            <w:shd w:val="clear" w:color="auto" w:fill="F5F9FC"/>
          </w:tcPr>
          <w:p w14:paraId="61A6D822">
            <w:pPr>
              <w:spacing w:before="40" w:after="40" w:line="240" w:lineRule="auto"/>
            </w:pPr>
            <w:r>
              <w:rPr>
                <w:sz w:val="19"/>
              </w:rPr>
              <w:t>Centrepay</w:t>
            </w:r>
          </w:p>
        </w:tc>
        <w:tc>
          <w:tcPr>
            <w:tcW w:w="3628" w:type="dxa"/>
          </w:tcPr>
          <w:p w14:paraId="208938B2">
            <w:pPr>
              <w:spacing w:before="40" w:after="40" w:line="240" w:lineRule="auto"/>
            </w:pPr>
            <w:r>
              <w:rPr>
                <w:sz w:val="19"/>
              </w:rPr>
              <w:t>A free bill-paying service direct from Centrelink payments.</w:t>
            </w:r>
          </w:p>
        </w:tc>
        <w:tc>
          <w:tcPr>
            <w:tcW w:w="2665" w:type="dxa"/>
          </w:tcPr>
          <w:p w14:paraId="61A3B58E">
            <w:pPr>
              <w:spacing w:before="40" w:after="40" w:line="240" w:lineRule="auto"/>
            </w:pPr>
            <w:r>
              <w:fldChar w:fldCharType="begin"/>
            </w:r>
            <w:r>
              <w:instrText xml:space="preserve"> HYPERLINK "https://www.servicesaustralia.gov.au/centrepay" \h </w:instrText>
            </w:r>
            <w:r>
              <w:fldChar w:fldCharType="separate"/>
            </w:r>
            <w:r>
              <w:rPr>
                <w:rFonts w:ascii="Calibri" w:hAnsi="Calibri"/>
                <w:color w:val="0066CC"/>
                <w:sz w:val="19"/>
                <w:u w:val="single"/>
              </w:rPr>
              <w:t>https://www.servicesaustralia.gov.au/centrepay</w:t>
            </w:r>
            <w:r>
              <w:rPr>
                <w:rFonts w:ascii="Calibri" w:hAnsi="Calibri"/>
                <w:color w:val="0066CC"/>
                <w:sz w:val="19"/>
                <w:u w:val="single"/>
              </w:rPr>
              <w:fldChar w:fldCharType="end"/>
            </w:r>
          </w:p>
        </w:tc>
      </w:tr>
      <w:tr w14:paraId="0DB947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40" w:type="dxa"/>
            <w:left w:w="80" w:type="dxa"/>
            <w:bottom w:w="40" w:type="dxa"/>
            <w:right w:w="80" w:type="dxa"/>
          </w:tblCellMar>
        </w:tblPrEx>
        <w:trPr>
          <w:jc w:val="center"/>
        </w:trPr>
        <w:tc>
          <w:tcPr>
            <w:tcW w:w="3515" w:type="dxa"/>
            <w:shd w:val="clear" w:color="auto" w:fill="F5F9FC"/>
          </w:tcPr>
          <w:p w14:paraId="78974166">
            <w:pPr>
              <w:spacing w:before="40" w:after="40" w:line="240" w:lineRule="auto"/>
            </w:pPr>
            <w:r>
              <w:rPr>
                <w:sz w:val="19"/>
              </w:rPr>
              <w:t>Express Plus Centrelink mobile app</w:t>
            </w:r>
          </w:p>
        </w:tc>
        <w:tc>
          <w:tcPr>
            <w:tcW w:w="3628" w:type="dxa"/>
          </w:tcPr>
          <w:p w14:paraId="0301EC7F">
            <w:pPr>
              <w:spacing w:before="40" w:after="40" w:line="240" w:lineRule="auto"/>
            </w:pPr>
            <w:r>
              <w:rPr>
                <w:sz w:val="19"/>
              </w:rPr>
              <w:t>A mobile app to manage Services Australia services on the go.</w:t>
            </w:r>
          </w:p>
        </w:tc>
        <w:tc>
          <w:tcPr>
            <w:tcW w:w="2665" w:type="dxa"/>
          </w:tcPr>
          <w:p w14:paraId="26725BAD">
            <w:pPr>
              <w:spacing w:before="40" w:after="40" w:line="240" w:lineRule="auto"/>
            </w:pPr>
            <w:r>
              <w:fldChar w:fldCharType="begin"/>
            </w:r>
            <w:r>
              <w:instrText xml:space="preserve"> HYPERLINK "https://www.servicesaustralia.gov.au/express-plus-centrelink-mobile-app" \h </w:instrText>
            </w:r>
            <w:r>
              <w:fldChar w:fldCharType="separate"/>
            </w:r>
            <w:r>
              <w:rPr>
                <w:rFonts w:ascii="Calibri" w:hAnsi="Calibri"/>
                <w:color w:val="0066CC"/>
                <w:sz w:val="19"/>
                <w:u w:val="single"/>
              </w:rPr>
              <w:t>https://www.servicesaustralia.gov.au/express-plus-centrelink-mobile-app</w:t>
            </w:r>
            <w:r>
              <w:rPr>
                <w:rFonts w:ascii="Calibri" w:hAnsi="Calibri"/>
                <w:color w:val="0066CC"/>
                <w:sz w:val="19"/>
                <w:u w:val="single"/>
              </w:rPr>
              <w:fldChar w:fldCharType="end"/>
            </w:r>
          </w:p>
        </w:tc>
      </w:tr>
      <w:tr w14:paraId="5AB1E4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40" w:type="dxa"/>
            <w:left w:w="80" w:type="dxa"/>
            <w:bottom w:w="40" w:type="dxa"/>
            <w:right w:w="80" w:type="dxa"/>
          </w:tblCellMar>
        </w:tblPrEx>
        <w:trPr>
          <w:jc w:val="center"/>
        </w:trPr>
        <w:tc>
          <w:tcPr>
            <w:tcW w:w="3515" w:type="dxa"/>
            <w:shd w:val="clear" w:color="auto" w:fill="F5F9FC"/>
          </w:tcPr>
          <w:p w14:paraId="2C404DF3">
            <w:pPr>
              <w:spacing w:before="40" w:after="40" w:line="240" w:lineRule="auto"/>
            </w:pPr>
            <w:r>
              <w:rPr>
                <w:sz w:val="19"/>
              </w:rPr>
              <w:t>Employment Services Assessments (ESAts)</w:t>
            </w:r>
          </w:p>
        </w:tc>
        <w:tc>
          <w:tcPr>
            <w:tcW w:w="3628" w:type="dxa"/>
          </w:tcPr>
          <w:p w14:paraId="54CEAC18">
            <w:pPr>
              <w:spacing w:before="40" w:after="40" w:line="240" w:lineRule="auto"/>
            </w:pPr>
            <w:r>
              <w:rPr>
                <w:sz w:val="19"/>
              </w:rPr>
              <w:t>Services Australia assessments for job seekers needing employment support.</w:t>
            </w:r>
          </w:p>
        </w:tc>
        <w:tc>
          <w:tcPr>
            <w:tcW w:w="2665" w:type="dxa"/>
          </w:tcPr>
          <w:p w14:paraId="0FEE29DC">
            <w:pPr>
              <w:spacing w:before="40" w:after="40" w:line="240" w:lineRule="auto"/>
            </w:pPr>
            <w:r>
              <w:fldChar w:fldCharType="begin"/>
            </w:r>
            <w:r>
              <w:instrText xml:space="preserve"> HYPERLINK "https://www.servicesaustralia.gov.au/employment-services-assessments" \h </w:instrText>
            </w:r>
            <w:r>
              <w:fldChar w:fldCharType="separate"/>
            </w:r>
            <w:r>
              <w:rPr>
                <w:rFonts w:ascii="Calibri" w:hAnsi="Calibri"/>
                <w:color w:val="0066CC"/>
                <w:sz w:val="19"/>
                <w:u w:val="single"/>
              </w:rPr>
              <w:t>https://www.servicesaustralia.gov.au/employment-services-assessments</w:t>
            </w:r>
            <w:r>
              <w:rPr>
                <w:rFonts w:ascii="Calibri" w:hAnsi="Calibri"/>
                <w:color w:val="0066CC"/>
                <w:sz w:val="19"/>
                <w:u w:val="single"/>
              </w:rPr>
              <w:fldChar w:fldCharType="end"/>
            </w:r>
          </w:p>
        </w:tc>
      </w:tr>
    </w:tbl>
    <w:p w14:paraId="4A1E9060">
      <w:pPr>
        <w:pStyle w:val="4"/>
      </w:pPr>
      <w:r>
        <w:rPr>
          <w:color w:val="006B4F"/>
        </w:rPr>
        <w:t>SETS (Settlement Engagement and Transition Support)</w:t>
      </w:r>
    </w:p>
    <w:tbl>
      <w:tblPr>
        <w:tblStyle w:val="35"/>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0" w:type="dxa"/>
          <w:left w:w="80" w:type="dxa"/>
          <w:bottom w:w="40" w:type="dxa"/>
          <w:right w:w="80" w:type="dxa"/>
        </w:tblCellMar>
      </w:tblPr>
      <w:tblGrid>
        <w:gridCol w:w="3213"/>
        <w:gridCol w:w="3213"/>
        <w:gridCol w:w="3213"/>
      </w:tblGrid>
      <w:tr w14:paraId="7F3844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40" w:type="dxa"/>
            <w:left w:w="80" w:type="dxa"/>
            <w:bottom w:w="40" w:type="dxa"/>
            <w:right w:w="80" w:type="dxa"/>
          </w:tblCellMar>
        </w:tblPrEx>
        <w:trPr>
          <w:tblHeader/>
          <w:jc w:val="center"/>
        </w:trPr>
        <w:tc>
          <w:tcPr>
            <w:tcW w:w="3515" w:type="dxa"/>
            <w:shd w:val="clear" w:color="auto" w:fill="002B49"/>
          </w:tcPr>
          <w:p w14:paraId="142E7379">
            <w:pPr>
              <w:spacing w:before="40" w:after="40" w:line="240" w:lineRule="auto"/>
            </w:pPr>
            <w:r>
              <w:rPr>
                <w:b/>
                <w:color w:val="FFFFFF"/>
                <w:sz w:val="19"/>
              </w:rPr>
              <w:t>Title</w:t>
            </w:r>
          </w:p>
        </w:tc>
        <w:tc>
          <w:tcPr>
            <w:tcW w:w="3628" w:type="dxa"/>
            <w:shd w:val="clear" w:color="auto" w:fill="002B49"/>
          </w:tcPr>
          <w:p w14:paraId="51834747">
            <w:pPr>
              <w:spacing w:before="40" w:after="40" w:line="240" w:lineRule="auto"/>
            </w:pPr>
            <w:r>
              <w:rPr>
                <w:b/>
                <w:color w:val="FFFFFF"/>
                <w:sz w:val="19"/>
              </w:rPr>
              <w:t>Description</w:t>
            </w:r>
          </w:p>
        </w:tc>
        <w:tc>
          <w:tcPr>
            <w:tcW w:w="2665" w:type="dxa"/>
            <w:shd w:val="clear" w:color="auto" w:fill="002B49"/>
          </w:tcPr>
          <w:p w14:paraId="5E338651">
            <w:pPr>
              <w:spacing w:before="40" w:after="40" w:line="240" w:lineRule="auto"/>
            </w:pPr>
            <w:r>
              <w:rPr>
                <w:b/>
                <w:color w:val="FFFFFF"/>
                <w:sz w:val="19"/>
              </w:rPr>
              <w:t>URL</w:t>
            </w:r>
          </w:p>
        </w:tc>
      </w:tr>
      <w:tr w14:paraId="7D6385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40" w:type="dxa"/>
            <w:left w:w="80" w:type="dxa"/>
            <w:bottom w:w="40" w:type="dxa"/>
            <w:right w:w="80" w:type="dxa"/>
          </w:tblCellMar>
        </w:tblPrEx>
        <w:trPr>
          <w:jc w:val="center"/>
        </w:trPr>
        <w:tc>
          <w:tcPr>
            <w:tcW w:w="3515" w:type="dxa"/>
            <w:shd w:val="clear" w:color="auto" w:fill="F5F9FC"/>
          </w:tcPr>
          <w:p w14:paraId="034A57D7">
            <w:pPr>
              <w:spacing w:before="40" w:after="40" w:line="240" w:lineRule="auto"/>
            </w:pPr>
            <w:r>
              <w:rPr>
                <w:sz w:val="19"/>
              </w:rPr>
              <w:t>SETS Program (Home Affairs)</w:t>
            </w:r>
          </w:p>
        </w:tc>
        <w:tc>
          <w:tcPr>
            <w:tcW w:w="3628" w:type="dxa"/>
          </w:tcPr>
          <w:p w14:paraId="17A47A12">
            <w:pPr>
              <w:spacing w:before="40" w:after="40" w:line="240" w:lineRule="auto"/>
            </w:pPr>
            <w:r>
              <w:rPr>
                <w:sz w:val="19"/>
              </w:rPr>
              <w:t>National program supporting refugees and migrants to integrate into Australian society.</w:t>
            </w:r>
          </w:p>
        </w:tc>
        <w:tc>
          <w:tcPr>
            <w:tcW w:w="2665" w:type="dxa"/>
          </w:tcPr>
          <w:p w14:paraId="32B6991F">
            <w:pPr>
              <w:spacing w:before="40" w:after="40" w:line="240" w:lineRule="auto"/>
            </w:pPr>
            <w:r>
              <w:fldChar w:fldCharType="begin"/>
            </w:r>
            <w:r>
              <w:instrText xml:space="preserve"> HYPERLINK "https://immi.homeaffairs.gov.au/settling-in-australia/sets-program" \h </w:instrText>
            </w:r>
            <w:r>
              <w:fldChar w:fldCharType="separate"/>
            </w:r>
            <w:r>
              <w:rPr>
                <w:rFonts w:ascii="Calibri" w:hAnsi="Calibri"/>
                <w:color w:val="0066CC"/>
                <w:sz w:val="19"/>
                <w:u w:val="single"/>
              </w:rPr>
              <w:t>https://immi.homeaffairs.gov.au/settling-in-australia/sets-program</w:t>
            </w:r>
            <w:r>
              <w:rPr>
                <w:rFonts w:ascii="Calibri" w:hAnsi="Calibri"/>
                <w:color w:val="0066CC"/>
                <w:sz w:val="19"/>
                <w:u w:val="single"/>
              </w:rPr>
              <w:fldChar w:fldCharType="end"/>
            </w:r>
          </w:p>
        </w:tc>
      </w:tr>
      <w:tr w14:paraId="728BFB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40" w:type="dxa"/>
            <w:left w:w="80" w:type="dxa"/>
            <w:bottom w:w="40" w:type="dxa"/>
            <w:right w:w="80" w:type="dxa"/>
          </w:tblCellMar>
        </w:tblPrEx>
        <w:trPr>
          <w:jc w:val="center"/>
        </w:trPr>
        <w:tc>
          <w:tcPr>
            <w:tcW w:w="3515" w:type="dxa"/>
            <w:shd w:val="clear" w:color="auto" w:fill="F5F9FC"/>
          </w:tcPr>
          <w:p w14:paraId="4D73AE22">
            <w:pPr>
              <w:spacing w:before="40" w:after="40" w:line="240" w:lineRule="auto"/>
            </w:pPr>
            <w:r>
              <w:rPr>
                <w:sz w:val="19"/>
              </w:rPr>
              <w:t>SETS — Types of Services and Support</w:t>
            </w:r>
          </w:p>
        </w:tc>
        <w:tc>
          <w:tcPr>
            <w:tcW w:w="3628" w:type="dxa"/>
          </w:tcPr>
          <w:p w14:paraId="5B0877A9">
            <w:pPr>
              <w:spacing w:before="40" w:after="40" w:line="240" w:lineRule="auto"/>
            </w:pPr>
            <w:r>
              <w:rPr>
                <w:sz w:val="19"/>
              </w:rPr>
              <w:t>Overview of support types including community capacity building.</w:t>
            </w:r>
          </w:p>
        </w:tc>
        <w:tc>
          <w:tcPr>
            <w:tcW w:w="2665" w:type="dxa"/>
          </w:tcPr>
          <w:p w14:paraId="0C048612">
            <w:pPr>
              <w:spacing w:before="40" w:after="40" w:line="240" w:lineRule="auto"/>
            </w:pPr>
            <w:r>
              <w:fldChar w:fldCharType="begin"/>
            </w:r>
            <w:r>
              <w:instrText xml:space="preserve"> HYPERLINK "https://immi.homeaffairs.gov.au/settling-in-australia/sets-program/types-of-services" \h </w:instrText>
            </w:r>
            <w:r>
              <w:fldChar w:fldCharType="separate"/>
            </w:r>
            <w:r>
              <w:rPr>
                <w:rFonts w:ascii="Calibri" w:hAnsi="Calibri"/>
                <w:color w:val="0066CC"/>
                <w:sz w:val="19"/>
                <w:u w:val="single"/>
              </w:rPr>
              <w:t>https://immi.homeaffairs.gov.au/settling-in-australia/sets-program/types-of-services</w:t>
            </w:r>
            <w:r>
              <w:rPr>
                <w:rFonts w:ascii="Calibri" w:hAnsi="Calibri"/>
                <w:color w:val="0066CC"/>
                <w:sz w:val="19"/>
                <w:u w:val="single"/>
              </w:rPr>
              <w:fldChar w:fldCharType="end"/>
            </w:r>
          </w:p>
        </w:tc>
      </w:tr>
      <w:tr w14:paraId="4D8E73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40" w:type="dxa"/>
            <w:left w:w="80" w:type="dxa"/>
            <w:bottom w:w="40" w:type="dxa"/>
            <w:right w:w="80" w:type="dxa"/>
          </w:tblCellMar>
        </w:tblPrEx>
        <w:trPr>
          <w:jc w:val="center"/>
        </w:trPr>
        <w:tc>
          <w:tcPr>
            <w:tcW w:w="3515" w:type="dxa"/>
            <w:shd w:val="clear" w:color="auto" w:fill="F5F9FC"/>
          </w:tcPr>
          <w:p w14:paraId="4D116C95">
            <w:pPr>
              <w:spacing w:before="40" w:after="40" w:line="240" w:lineRule="auto"/>
            </w:pPr>
            <w:r>
              <w:rPr>
                <w:sz w:val="19"/>
              </w:rPr>
              <w:t>SETS — Eligibility</w:t>
            </w:r>
          </w:p>
        </w:tc>
        <w:tc>
          <w:tcPr>
            <w:tcW w:w="3628" w:type="dxa"/>
          </w:tcPr>
          <w:p w14:paraId="05610137">
            <w:pPr>
              <w:spacing w:before="40" w:after="40" w:line="240" w:lineRule="auto"/>
            </w:pPr>
            <w:r>
              <w:rPr>
                <w:sz w:val="19"/>
              </w:rPr>
              <w:t>Information on who can access SETS services.</w:t>
            </w:r>
          </w:p>
        </w:tc>
        <w:tc>
          <w:tcPr>
            <w:tcW w:w="2665" w:type="dxa"/>
          </w:tcPr>
          <w:p w14:paraId="42B3BDDE">
            <w:pPr>
              <w:spacing w:before="40" w:after="40" w:line="240" w:lineRule="auto"/>
            </w:pPr>
            <w:r>
              <w:fldChar w:fldCharType="begin"/>
            </w:r>
            <w:r>
              <w:instrText xml:space="preserve"> HYPERLINK "https://immi.homeaffairs.gov.au/settling-in-australia/sets-program/eligibility" \h </w:instrText>
            </w:r>
            <w:r>
              <w:fldChar w:fldCharType="separate"/>
            </w:r>
            <w:r>
              <w:rPr>
                <w:rFonts w:ascii="Calibri" w:hAnsi="Calibri"/>
                <w:color w:val="0066CC"/>
                <w:sz w:val="19"/>
                <w:u w:val="single"/>
              </w:rPr>
              <w:t>https://immi.homeaffairs.gov.au/settling-in-australia/sets-program/eligibility</w:t>
            </w:r>
            <w:r>
              <w:rPr>
                <w:rFonts w:ascii="Calibri" w:hAnsi="Calibri"/>
                <w:color w:val="0066CC"/>
                <w:sz w:val="19"/>
                <w:u w:val="single"/>
              </w:rPr>
              <w:fldChar w:fldCharType="end"/>
            </w:r>
          </w:p>
        </w:tc>
      </w:tr>
      <w:tr w14:paraId="33BD3A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40" w:type="dxa"/>
            <w:left w:w="80" w:type="dxa"/>
            <w:bottom w:w="40" w:type="dxa"/>
            <w:right w:w="80" w:type="dxa"/>
          </w:tblCellMar>
        </w:tblPrEx>
        <w:trPr>
          <w:jc w:val="center"/>
        </w:trPr>
        <w:tc>
          <w:tcPr>
            <w:tcW w:w="3515" w:type="dxa"/>
            <w:shd w:val="clear" w:color="auto" w:fill="F5F9FC"/>
          </w:tcPr>
          <w:p w14:paraId="4B023C97">
            <w:pPr>
              <w:spacing w:before="40" w:after="40" w:line="240" w:lineRule="auto"/>
            </w:pPr>
            <w:r>
              <w:rPr>
                <w:sz w:val="19"/>
              </w:rPr>
              <w:t>SETS — List of Providers (National)</w:t>
            </w:r>
          </w:p>
        </w:tc>
        <w:tc>
          <w:tcPr>
            <w:tcW w:w="3628" w:type="dxa"/>
          </w:tcPr>
          <w:p w14:paraId="4DA7C46A">
            <w:pPr>
              <w:spacing w:before="40" w:after="40" w:line="240" w:lineRule="auto"/>
            </w:pPr>
            <w:r>
              <w:rPr>
                <w:sz w:val="19"/>
              </w:rPr>
              <w:t>National list of SETS service providers.</w:t>
            </w:r>
          </w:p>
        </w:tc>
        <w:tc>
          <w:tcPr>
            <w:tcW w:w="2665" w:type="dxa"/>
          </w:tcPr>
          <w:p w14:paraId="6CB91FD8">
            <w:pPr>
              <w:spacing w:before="40" w:after="40" w:line="240" w:lineRule="auto"/>
            </w:pPr>
            <w:r>
              <w:fldChar w:fldCharType="begin"/>
            </w:r>
            <w:r>
              <w:instrText xml:space="preserve"> HYPERLINK "https://immi.homeaffairs.gov.au/settling-in-australia/sets-program/list-of-providers" \h </w:instrText>
            </w:r>
            <w:r>
              <w:fldChar w:fldCharType="separate"/>
            </w:r>
            <w:r>
              <w:rPr>
                <w:rFonts w:ascii="Calibri" w:hAnsi="Calibri"/>
                <w:color w:val="0066CC"/>
                <w:sz w:val="19"/>
                <w:u w:val="single"/>
              </w:rPr>
              <w:t>https://immi.homeaffairs.gov.au/settling-in-australia/sets-program/list-of-providers</w:t>
            </w:r>
            <w:r>
              <w:rPr>
                <w:rFonts w:ascii="Calibri" w:hAnsi="Calibri"/>
                <w:color w:val="0066CC"/>
                <w:sz w:val="19"/>
                <w:u w:val="single"/>
              </w:rPr>
              <w:fldChar w:fldCharType="end"/>
            </w:r>
          </w:p>
        </w:tc>
      </w:tr>
      <w:tr w14:paraId="77AD83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40" w:type="dxa"/>
            <w:left w:w="80" w:type="dxa"/>
            <w:bottom w:w="40" w:type="dxa"/>
            <w:right w:w="80" w:type="dxa"/>
          </w:tblCellMar>
        </w:tblPrEx>
        <w:trPr>
          <w:jc w:val="center"/>
        </w:trPr>
        <w:tc>
          <w:tcPr>
            <w:tcW w:w="3515" w:type="dxa"/>
            <w:shd w:val="clear" w:color="auto" w:fill="F5F9FC"/>
          </w:tcPr>
          <w:p w14:paraId="7583A5E7">
            <w:pPr>
              <w:spacing w:before="40" w:after="40" w:line="240" w:lineRule="auto"/>
            </w:pPr>
            <w:r>
              <w:rPr>
                <w:sz w:val="19"/>
              </w:rPr>
              <w:t>SETS — Sector Collaboration</w:t>
            </w:r>
          </w:p>
        </w:tc>
        <w:tc>
          <w:tcPr>
            <w:tcW w:w="3628" w:type="dxa"/>
          </w:tcPr>
          <w:p w14:paraId="6E02C353">
            <w:pPr>
              <w:spacing w:before="40" w:after="40" w:line="240" w:lineRule="auto"/>
            </w:pPr>
            <w:r>
              <w:rPr>
                <w:sz w:val="19"/>
              </w:rPr>
              <w:t>Key stakeholder collaboration lists for SETS providers.</w:t>
            </w:r>
          </w:p>
        </w:tc>
        <w:tc>
          <w:tcPr>
            <w:tcW w:w="2665" w:type="dxa"/>
          </w:tcPr>
          <w:p w14:paraId="4C94D368">
            <w:pPr>
              <w:spacing w:before="40" w:after="40" w:line="240" w:lineRule="auto"/>
            </w:pPr>
            <w:r>
              <w:fldChar w:fldCharType="begin"/>
            </w:r>
            <w:r>
              <w:instrText xml:space="preserve"> HYPERLINK "https://immi.homeaffairs.gov.au/settling-in-australia/sets-program/types-of-services/sector-collaboration" \h </w:instrText>
            </w:r>
            <w:r>
              <w:fldChar w:fldCharType="separate"/>
            </w:r>
            <w:r>
              <w:rPr>
                <w:rFonts w:ascii="Calibri" w:hAnsi="Calibri"/>
                <w:color w:val="0066CC"/>
                <w:sz w:val="19"/>
                <w:u w:val="single"/>
              </w:rPr>
              <w:t>https://immi.homeaffairs.gov.au/settling-in-australia/sets-program/types-of-services/sector-collaboration</w:t>
            </w:r>
            <w:r>
              <w:rPr>
                <w:rFonts w:ascii="Calibri" w:hAnsi="Calibri"/>
                <w:color w:val="0066CC"/>
                <w:sz w:val="19"/>
                <w:u w:val="single"/>
              </w:rPr>
              <w:fldChar w:fldCharType="end"/>
            </w:r>
          </w:p>
        </w:tc>
      </w:tr>
      <w:tr w14:paraId="7B0351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40" w:type="dxa"/>
            <w:left w:w="80" w:type="dxa"/>
            <w:bottom w:w="40" w:type="dxa"/>
            <w:right w:w="80" w:type="dxa"/>
          </w:tblCellMar>
        </w:tblPrEx>
        <w:trPr>
          <w:jc w:val="center"/>
        </w:trPr>
        <w:tc>
          <w:tcPr>
            <w:tcW w:w="3515" w:type="dxa"/>
            <w:shd w:val="clear" w:color="auto" w:fill="F5F9FC"/>
          </w:tcPr>
          <w:p w14:paraId="73E7389F">
            <w:pPr>
              <w:spacing w:before="40" w:after="40" w:line="240" w:lineRule="auto"/>
            </w:pPr>
            <w:r>
              <w:rPr>
                <w:sz w:val="19"/>
              </w:rPr>
              <w:t>Refugee and Humanitarian Entrant Settlement and Integration Outcomes Framework</w:t>
            </w:r>
          </w:p>
        </w:tc>
        <w:tc>
          <w:tcPr>
            <w:tcW w:w="3628" w:type="dxa"/>
          </w:tcPr>
          <w:p w14:paraId="58FEC6B5">
            <w:pPr>
              <w:spacing w:before="40" w:after="40" w:line="240" w:lineRule="auto"/>
            </w:pPr>
            <w:r>
              <w:rPr>
                <w:sz w:val="19"/>
              </w:rPr>
              <w:t>Australia's vision of successful settlement and integration.</w:t>
            </w:r>
          </w:p>
        </w:tc>
        <w:tc>
          <w:tcPr>
            <w:tcW w:w="2665" w:type="dxa"/>
          </w:tcPr>
          <w:p w14:paraId="1794680B">
            <w:pPr>
              <w:spacing w:before="40" w:after="40" w:line="240" w:lineRule="auto"/>
            </w:pPr>
            <w:r>
              <w:fldChar w:fldCharType="begin"/>
            </w:r>
            <w:r>
              <w:instrText xml:space="preserve"> HYPERLINK "https://immi.homeaffairs.gov.au/settling-in-australia/settlement-policy-and-reform/refugee-and-humanitarian-entrant-settlement-and-integration-outcomes-framework" \h </w:instrText>
            </w:r>
            <w:r>
              <w:fldChar w:fldCharType="separate"/>
            </w:r>
            <w:r>
              <w:rPr>
                <w:rFonts w:ascii="Calibri" w:hAnsi="Calibri"/>
                <w:color w:val="0066CC"/>
                <w:sz w:val="19"/>
                <w:u w:val="single"/>
              </w:rPr>
              <w:t>https://immi.homeaffairs.gov.au/settling-in-australia/settlement-policy-and-reform/refugee-and-humanitarian-entrant-settlement-and-integration-outcomes-framework</w:t>
            </w:r>
            <w:r>
              <w:rPr>
                <w:rFonts w:ascii="Calibri" w:hAnsi="Calibri"/>
                <w:color w:val="0066CC"/>
                <w:sz w:val="19"/>
                <w:u w:val="single"/>
              </w:rPr>
              <w:fldChar w:fldCharType="end"/>
            </w:r>
          </w:p>
        </w:tc>
      </w:tr>
      <w:tr w14:paraId="6ED10D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40" w:type="dxa"/>
            <w:left w:w="80" w:type="dxa"/>
            <w:bottom w:w="40" w:type="dxa"/>
            <w:right w:w="80" w:type="dxa"/>
          </w:tblCellMar>
        </w:tblPrEx>
        <w:trPr>
          <w:jc w:val="center"/>
        </w:trPr>
        <w:tc>
          <w:tcPr>
            <w:tcW w:w="3515" w:type="dxa"/>
            <w:shd w:val="clear" w:color="auto" w:fill="F5F9FC"/>
          </w:tcPr>
          <w:p w14:paraId="7CAC17C8">
            <w:pPr>
              <w:spacing w:before="40" w:after="40" w:line="240" w:lineRule="auto"/>
            </w:pPr>
            <w:r>
              <w:rPr>
                <w:sz w:val="19"/>
              </w:rPr>
              <w:t>Multicultural Australia — SETS</w:t>
            </w:r>
          </w:p>
        </w:tc>
        <w:tc>
          <w:tcPr>
            <w:tcW w:w="3628" w:type="dxa"/>
          </w:tcPr>
          <w:p w14:paraId="2E54A0D3">
            <w:pPr>
              <w:spacing w:before="40" w:after="40" w:line="240" w:lineRule="auto"/>
            </w:pPr>
            <w:r>
              <w:rPr>
                <w:sz w:val="19"/>
              </w:rPr>
              <w:t>Regional SETS provider (Brisbane and Logan).</w:t>
            </w:r>
          </w:p>
        </w:tc>
        <w:tc>
          <w:tcPr>
            <w:tcW w:w="2665" w:type="dxa"/>
          </w:tcPr>
          <w:p w14:paraId="0F6F6644">
            <w:pPr>
              <w:spacing w:before="40" w:after="40" w:line="240" w:lineRule="auto"/>
            </w:pPr>
            <w:r>
              <w:fldChar w:fldCharType="begin"/>
            </w:r>
            <w:r>
              <w:instrText xml:space="preserve"> HYPERLINK "https://www.multiculturalaustralia.org.au/settlement/engagement-transition-support/" \h </w:instrText>
            </w:r>
            <w:r>
              <w:fldChar w:fldCharType="separate"/>
            </w:r>
            <w:r>
              <w:rPr>
                <w:rFonts w:ascii="Calibri" w:hAnsi="Calibri"/>
                <w:color w:val="0066CC"/>
                <w:sz w:val="19"/>
                <w:u w:val="single"/>
              </w:rPr>
              <w:t>https://www.multiculturalaustralia.org.au/settlement/engagement-transition-support/</w:t>
            </w:r>
            <w:r>
              <w:rPr>
                <w:rFonts w:ascii="Calibri" w:hAnsi="Calibri"/>
                <w:color w:val="0066CC"/>
                <w:sz w:val="19"/>
                <w:u w:val="single"/>
              </w:rPr>
              <w:fldChar w:fldCharType="end"/>
            </w:r>
          </w:p>
        </w:tc>
      </w:tr>
      <w:tr w14:paraId="3285AB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40" w:type="dxa"/>
            <w:left w:w="80" w:type="dxa"/>
            <w:bottom w:w="40" w:type="dxa"/>
            <w:right w:w="80" w:type="dxa"/>
          </w:tblCellMar>
        </w:tblPrEx>
        <w:trPr>
          <w:jc w:val="center"/>
        </w:trPr>
        <w:tc>
          <w:tcPr>
            <w:tcW w:w="3515" w:type="dxa"/>
            <w:shd w:val="clear" w:color="auto" w:fill="F5F9FC"/>
          </w:tcPr>
          <w:p w14:paraId="39EE91D8">
            <w:pPr>
              <w:spacing w:before="40" w:after="40" w:line="240" w:lineRule="auto"/>
            </w:pPr>
            <w:r>
              <w:rPr>
                <w:sz w:val="19"/>
              </w:rPr>
              <w:t>MultiLink Community Services</w:t>
            </w:r>
          </w:p>
        </w:tc>
        <w:tc>
          <w:tcPr>
            <w:tcW w:w="3628" w:type="dxa"/>
          </w:tcPr>
          <w:p w14:paraId="343BF3E9">
            <w:pPr>
              <w:spacing w:before="40" w:after="40" w:line="240" w:lineRule="auto"/>
            </w:pPr>
            <w:r>
              <w:rPr>
                <w:sz w:val="19"/>
              </w:rPr>
              <w:t>Regional SETS provider — Logan.</w:t>
            </w:r>
          </w:p>
        </w:tc>
        <w:tc>
          <w:tcPr>
            <w:tcW w:w="2665" w:type="dxa"/>
          </w:tcPr>
          <w:p w14:paraId="7CE09B56">
            <w:pPr>
              <w:spacing w:before="40" w:after="40" w:line="240" w:lineRule="auto"/>
            </w:pPr>
            <w:r>
              <w:fldChar w:fldCharType="begin"/>
            </w:r>
            <w:r>
              <w:instrText xml:space="preserve"> HYPERLINK "https://multilink.org.au" \h </w:instrText>
            </w:r>
            <w:r>
              <w:fldChar w:fldCharType="separate"/>
            </w:r>
            <w:r>
              <w:rPr>
                <w:rFonts w:ascii="Calibri" w:hAnsi="Calibri"/>
                <w:color w:val="0066CC"/>
                <w:sz w:val="19"/>
                <w:u w:val="single"/>
              </w:rPr>
              <w:t>https://multilink.org.au</w:t>
            </w:r>
            <w:r>
              <w:rPr>
                <w:rFonts w:ascii="Calibri" w:hAnsi="Calibri"/>
                <w:color w:val="0066CC"/>
                <w:sz w:val="19"/>
                <w:u w:val="single"/>
              </w:rPr>
              <w:fldChar w:fldCharType="end"/>
            </w:r>
          </w:p>
        </w:tc>
      </w:tr>
      <w:tr w14:paraId="7B3167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40" w:type="dxa"/>
            <w:left w:w="80" w:type="dxa"/>
            <w:bottom w:w="40" w:type="dxa"/>
            <w:right w:w="80" w:type="dxa"/>
          </w:tblCellMar>
        </w:tblPrEx>
        <w:trPr>
          <w:jc w:val="center"/>
        </w:trPr>
        <w:tc>
          <w:tcPr>
            <w:tcW w:w="3515" w:type="dxa"/>
            <w:shd w:val="clear" w:color="auto" w:fill="F5F9FC"/>
          </w:tcPr>
          <w:p w14:paraId="3633CE97">
            <w:pPr>
              <w:spacing w:before="40" w:after="40" w:line="240" w:lineRule="auto"/>
            </w:pPr>
            <w:r>
              <w:rPr>
                <w:sz w:val="19"/>
              </w:rPr>
              <w:t>QPASTT</w:t>
            </w:r>
          </w:p>
        </w:tc>
        <w:tc>
          <w:tcPr>
            <w:tcW w:w="3628" w:type="dxa"/>
          </w:tcPr>
          <w:p w14:paraId="16325545">
            <w:pPr>
              <w:spacing w:before="40" w:after="40" w:line="240" w:lineRule="auto"/>
            </w:pPr>
            <w:r>
              <w:rPr>
                <w:sz w:val="19"/>
              </w:rPr>
              <w:t>Specialist refugee trauma recovery (SETS-listed).</w:t>
            </w:r>
          </w:p>
        </w:tc>
        <w:tc>
          <w:tcPr>
            <w:tcW w:w="2665" w:type="dxa"/>
          </w:tcPr>
          <w:p w14:paraId="2B325D1D">
            <w:pPr>
              <w:spacing w:before="40" w:after="40" w:line="240" w:lineRule="auto"/>
            </w:pPr>
            <w:r>
              <w:fldChar w:fldCharType="begin"/>
            </w:r>
            <w:r>
              <w:instrText xml:space="preserve"> HYPERLINK "https://qpastt.org.au" \h </w:instrText>
            </w:r>
            <w:r>
              <w:fldChar w:fldCharType="separate"/>
            </w:r>
            <w:r>
              <w:rPr>
                <w:rFonts w:ascii="Calibri" w:hAnsi="Calibri"/>
                <w:color w:val="0066CC"/>
                <w:sz w:val="19"/>
                <w:u w:val="single"/>
              </w:rPr>
              <w:t>https://qpastt.org.au</w:t>
            </w:r>
            <w:r>
              <w:rPr>
                <w:rFonts w:ascii="Calibri" w:hAnsi="Calibri"/>
                <w:color w:val="0066CC"/>
                <w:sz w:val="19"/>
                <w:u w:val="single"/>
              </w:rPr>
              <w:fldChar w:fldCharType="end"/>
            </w:r>
          </w:p>
        </w:tc>
      </w:tr>
      <w:tr w14:paraId="43FBF9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40" w:type="dxa"/>
            <w:left w:w="80" w:type="dxa"/>
            <w:bottom w:w="40" w:type="dxa"/>
            <w:right w:w="80" w:type="dxa"/>
          </w:tblCellMar>
        </w:tblPrEx>
        <w:trPr>
          <w:jc w:val="center"/>
        </w:trPr>
        <w:tc>
          <w:tcPr>
            <w:tcW w:w="3515" w:type="dxa"/>
            <w:shd w:val="clear" w:color="auto" w:fill="F5F9FC"/>
          </w:tcPr>
          <w:p w14:paraId="1AC52D76">
            <w:pPr>
              <w:spacing w:before="40" w:after="40" w:line="240" w:lineRule="auto"/>
            </w:pPr>
            <w:r>
              <w:rPr>
                <w:sz w:val="19"/>
              </w:rPr>
              <w:t>IWA Australia</w:t>
            </w:r>
          </w:p>
        </w:tc>
        <w:tc>
          <w:tcPr>
            <w:tcW w:w="3628" w:type="dxa"/>
          </w:tcPr>
          <w:p w14:paraId="4BE90D4D">
            <w:pPr>
              <w:spacing w:before="40" w:after="40" w:line="240" w:lineRule="auto"/>
            </w:pPr>
            <w:r>
              <w:rPr>
                <w:sz w:val="19"/>
              </w:rPr>
              <w:t>Regional SETS provider — Springwood.</w:t>
            </w:r>
          </w:p>
        </w:tc>
        <w:tc>
          <w:tcPr>
            <w:tcW w:w="2665" w:type="dxa"/>
          </w:tcPr>
          <w:p w14:paraId="52009D30">
            <w:pPr>
              <w:spacing w:before="40" w:after="40" w:line="240" w:lineRule="auto"/>
            </w:pPr>
            <w:r>
              <w:fldChar w:fldCharType="begin"/>
            </w:r>
            <w:r>
              <w:instrText xml:space="preserve"> HYPERLINK "https://iwaa.org.au" \h </w:instrText>
            </w:r>
            <w:r>
              <w:fldChar w:fldCharType="separate"/>
            </w:r>
            <w:r>
              <w:rPr>
                <w:rFonts w:ascii="Calibri" w:hAnsi="Calibri"/>
                <w:color w:val="0066CC"/>
                <w:sz w:val="19"/>
                <w:u w:val="single"/>
              </w:rPr>
              <w:t>https://iwaa.org.au</w:t>
            </w:r>
            <w:r>
              <w:rPr>
                <w:rFonts w:ascii="Calibri" w:hAnsi="Calibri"/>
                <w:color w:val="0066CC"/>
                <w:sz w:val="19"/>
                <w:u w:val="single"/>
              </w:rPr>
              <w:fldChar w:fldCharType="end"/>
            </w:r>
          </w:p>
        </w:tc>
      </w:tr>
      <w:tr w14:paraId="6BA15E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40" w:type="dxa"/>
            <w:left w:w="80" w:type="dxa"/>
            <w:bottom w:w="40" w:type="dxa"/>
            <w:right w:w="80" w:type="dxa"/>
          </w:tblCellMar>
        </w:tblPrEx>
        <w:trPr>
          <w:jc w:val="center"/>
        </w:trPr>
        <w:tc>
          <w:tcPr>
            <w:tcW w:w="3515" w:type="dxa"/>
            <w:shd w:val="clear" w:color="auto" w:fill="F5F9FC"/>
          </w:tcPr>
          <w:p w14:paraId="7C15C401">
            <w:pPr>
              <w:spacing w:before="40" w:after="40" w:line="240" w:lineRule="auto"/>
            </w:pPr>
            <w:r>
              <w:rPr>
                <w:sz w:val="19"/>
              </w:rPr>
              <w:t>Settlement Services International (SSI)</w:t>
            </w:r>
          </w:p>
        </w:tc>
        <w:tc>
          <w:tcPr>
            <w:tcW w:w="3628" w:type="dxa"/>
          </w:tcPr>
          <w:p w14:paraId="706C5B17">
            <w:pPr>
              <w:spacing w:before="40" w:after="40" w:line="240" w:lineRule="auto"/>
            </w:pPr>
            <w:r>
              <w:rPr>
                <w:sz w:val="19"/>
              </w:rPr>
              <w:t>SETS Queensland provider.</w:t>
            </w:r>
          </w:p>
        </w:tc>
        <w:tc>
          <w:tcPr>
            <w:tcW w:w="2665" w:type="dxa"/>
          </w:tcPr>
          <w:p w14:paraId="0A0C252B">
            <w:pPr>
              <w:spacing w:before="40" w:after="40" w:line="240" w:lineRule="auto"/>
            </w:pPr>
            <w:r>
              <w:fldChar w:fldCharType="begin"/>
            </w:r>
            <w:r>
              <w:instrText xml:space="preserve"> HYPERLINK "https://www.ssi.org.au" \h </w:instrText>
            </w:r>
            <w:r>
              <w:fldChar w:fldCharType="separate"/>
            </w:r>
            <w:r>
              <w:rPr>
                <w:rFonts w:ascii="Calibri" w:hAnsi="Calibri"/>
                <w:color w:val="0066CC"/>
                <w:sz w:val="19"/>
                <w:u w:val="single"/>
              </w:rPr>
              <w:t>https://www.ssi.org.au</w:t>
            </w:r>
            <w:r>
              <w:rPr>
                <w:rFonts w:ascii="Calibri" w:hAnsi="Calibri"/>
                <w:color w:val="0066CC"/>
                <w:sz w:val="19"/>
                <w:u w:val="single"/>
              </w:rPr>
              <w:fldChar w:fldCharType="end"/>
            </w:r>
          </w:p>
        </w:tc>
      </w:tr>
      <w:tr w14:paraId="6BFCBC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40" w:type="dxa"/>
            <w:left w:w="80" w:type="dxa"/>
            <w:bottom w:w="40" w:type="dxa"/>
            <w:right w:w="80" w:type="dxa"/>
          </w:tblCellMar>
        </w:tblPrEx>
        <w:trPr>
          <w:jc w:val="center"/>
        </w:trPr>
        <w:tc>
          <w:tcPr>
            <w:tcW w:w="3515" w:type="dxa"/>
            <w:shd w:val="clear" w:color="auto" w:fill="F5F9FC"/>
          </w:tcPr>
          <w:p w14:paraId="710DE806">
            <w:pPr>
              <w:spacing w:before="40" w:after="40" w:line="240" w:lineRule="auto"/>
            </w:pPr>
            <w:r>
              <w:rPr>
                <w:sz w:val="19"/>
              </w:rPr>
              <w:t>Accoras</w:t>
            </w:r>
          </w:p>
        </w:tc>
        <w:tc>
          <w:tcPr>
            <w:tcW w:w="3628" w:type="dxa"/>
          </w:tcPr>
          <w:p w14:paraId="32B0F648">
            <w:pPr>
              <w:spacing w:before="40" w:after="40" w:line="240" w:lineRule="auto"/>
            </w:pPr>
            <w:r>
              <w:rPr>
                <w:sz w:val="19"/>
              </w:rPr>
              <w:t>SETS provider — Upper Mount Gravatt.</w:t>
            </w:r>
          </w:p>
        </w:tc>
        <w:tc>
          <w:tcPr>
            <w:tcW w:w="2665" w:type="dxa"/>
          </w:tcPr>
          <w:p w14:paraId="445E0F9C">
            <w:pPr>
              <w:spacing w:before="40" w:after="40" w:line="240" w:lineRule="auto"/>
            </w:pPr>
            <w:r>
              <w:fldChar w:fldCharType="begin"/>
            </w:r>
            <w:r>
              <w:instrText xml:space="preserve"> HYPERLINK "https://accoras.com.au" \h </w:instrText>
            </w:r>
            <w:r>
              <w:fldChar w:fldCharType="separate"/>
            </w:r>
            <w:r>
              <w:rPr>
                <w:rFonts w:ascii="Calibri" w:hAnsi="Calibri"/>
                <w:color w:val="0066CC"/>
                <w:sz w:val="19"/>
                <w:u w:val="single"/>
              </w:rPr>
              <w:t>https://accoras.com.au</w:t>
            </w:r>
            <w:r>
              <w:rPr>
                <w:rFonts w:ascii="Calibri" w:hAnsi="Calibri"/>
                <w:color w:val="0066CC"/>
                <w:sz w:val="19"/>
                <w:u w:val="single"/>
              </w:rPr>
              <w:fldChar w:fldCharType="end"/>
            </w:r>
          </w:p>
        </w:tc>
      </w:tr>
    </w:tbl>
    <w:p w14:paraId="4DD011B6">
      <w:pPr>
        <w:pStyle w:val="4"/>
      </w:pPr>
      <w:r>
        <w:rPr>
          <w:color w:val="006B4F"/>
        </w:rPr>
        <w:t>Workforce Australia</w:t>
      </w:r>
    </w:p>
    <w:tbl>
      <w:tblPr>
        <w:tblStyle w:val="35"/>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0" w:type="dxa"/>
          <w:left w:w="80" w:type="dxa"/>
          <w:bottom w:w="40" w:type="dxa"/>
          <w:right w:w="80" w:type="dxa"/>
        </w:tblCellMar>
      </w:tblPr>
      <w:tblGrid>
        <w:gridCol w:w="3213"/>
        <w:gridCol w:w="3213"/>
        <w:gridCol w:w="3213"/>
      </w:tblGrid>
      <w:tr w14:paraId="708962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40" w:type="dxa"/>
            <w:left w:w="80" w:type="dxa"/>
            <w:bottom w:w="40" w:type="dxa"/>
            <w:right w:w="80" w:type="dxa"/>
          </w:tblCellMar>
        </w:tblPrEx>
        <w:trPr>
          <w:tblHeader/>
          <w:jc w:val="center"/>
        </w:trPr>
        <w:tc>
          <w:tcPr>
            <w:tcW w:w="3515" w:type="dxa"/>
            <w:shd w:val="clear" w:color="auto" w:fill="002B49"/>
          </w:tcPr>
          <w:p w14:paraId="774219BE">
            <w:pPr>
              <w:spacing w:before="40" w:after="40" w:line="240" w:lineRule="auto"/>
            </w:pPr>
            <w:r>
              <w:rPr>
                <w:b/>
                <w:color w:val="FFFFFF"/>
                <w:sz w:val="19"/>
              </w:rPr>
              <w:t>Title</w:t>
            </w:r>
          </w:p>
        </w:tc>
        <w:tc>
          <w:tcPr>
            <w:tcW w:w="3628" w:type="dxa"/>
            <w:shd w:val="clear" w:color="auto" w:fill="002B49"/>
          </w:tcPr>
          <w:p w14:paraId="3C68E493">
            <w:pPr>
              <w:spacing w:before="40" w:after="40" w:line="240" w:lineRule="auto"/>
            </w:pPr>
            <w:r>
              <w:rPr>
                <w:b/>
                <w:color w:val="FFFFFF"/>
                <w:sz w:val="19"/>
              </w:rPr>
              <w:t>Description</w:t>
            </w:r>
          </w:p>
        </w:tc>
        <w:tc>
          <w:tcPr>
            <w:tcW w:w="2665" w:type="dxa"/>
            <w:shd w:val="clear" w:color="auto" w:fill="002B49"/>
          </w:tcPr>
          <w:p w14:paraId="661E2F92">
            <w:pPr>
              <w:spacing w:before="40" w:after="40" w:line="240" w:lineRule="auto"/>
            </w:pPr>
            <w:r>
              <w:rPr>
                <w:b/>
                <w:color w:val="FFFFFF"/>
                <w:sz w:val="19"/>
              </w:rPr>
              <w:t>URL</w:t>
            </w:r>
          </w:p>
        </w:tc>
      </w:tr>
      <w:tr w14:paraId="40FB45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40" w:type="dxa"/>
            <w:left w:w="80" w:type="dxa"/>
            <w:bottom w:w="40" w:type="dxa"/>
            <w:right w:w="80" w:type="dxa"/>
          </w:tblCellMar>
        </w:tblPrEx>
        <w:trPr>
          <w:jc w:val="center"/>
        </w:trPr>
        <w:tc>
          <w:tcPr>
            <w:tcW w:w="3515" w:type="dxa"/>
            <w:shd w:val="clear" w:color="auto" w:fill="F5F9FC"/>
          </w:tcPr>
          <w:p w14:paraId="7F324993">
            <w:pPr>
              <w:spacing w:before="40" w:after="40" w:line="240" w:lineRule="auto"/>
            </w:pPr>
            <w:r>
              <w:rPr>
                <w:sz w:val="19"/>
              </w:rPr>
              <w:t>Workforce Australia</w:t>
            </w:r>
          </w:p>
        </w:tc>
        <w:tc>
          <w:tcPr>
            <w:tcW w:w="3628" w:type="dxa"/>
          </w:tcPr>
          <w:p w14:paraId="70D1FC01">
            <w:pPr>
              <w:spacing w:before="40" w:after="40" w:line="240" w:lineRule="auto"/>
            </w:pPr>
            <w:r>
              <w:rPr>
                <w:sz w:val="19"/>
              </w:rPr>
              <w:t>Main employment services website for job seekers.</w:t>
            </w:r>
          </w:p>
        </w:tc>
        <w:tc>
          <w:tcPr>
            <w:tcW w:w="2665" w:type="dxa"/>
          </w:tcPr>
          <w:p w14:paraId="01FBD6B1">
            <w:pPr>
              <w:spacing w:before="40" w:after="40" w:line="240" w:lineRule="auto"/>
            </w:pPr>
            <w:r>
              <w:fldChar w:fldCharType="begin"/>
            </w:r>
            <w:r>
              <w:instrText xml:space="preserve"> HYPERLINK "https://www.workforceaustralia.gov.au" \h </w:instrText>
            </w:r>
            <w:r>
              <w:fldChar w:fldCharType="separate"/>
            </w:r>
            <w:r>
              <w:rPr>
                <w:rFonts w:ascii="Calibri" w:hAnsi="Calibri"/>
                <w:color w:val="0066CC"/>
                <w:sz w:val="19"/>
                <w:u w:val="single"/>
              </w:rPr>
              <w:t>https://www.workforceaustralia.gov.au</w:t>
            </w:r>
            <w:r>
              <w:rPr>
                <w:rFonts w:ascii="Calibri" w:hAnsi="Calibri"/>
                <w:color w:val="0066CC"/>
                <w:sz w:val="19"/>
                <w:u w:val="single"/>
              </w:rPr>
              <w:fldChar w:fldCharType="end"/>
            </w:r>
          </w:p>
        </w:tc>
      </w:tr>
      <w:tr w14:paraId="189111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40" w:type="dxa"/>
            <w:left w:w="80" w:type="dxa"/>
            <w:bottom w:w="40" w:type="dxa"/>
            <w:right w:w="80" w:type="dxa"/>
          </w:tblCellMar>
        </w:tblPrEx>
        <w:trPr>
          <w:jc w:val="center"/>
        </w:trPr>
        <w:tc>
          <w:tcPr>
            <w:tcW w:w="3515" w:type="dxa"/>
            <w:shd w:val="clear" w:color="auto" w:fill="F5F9FC"/>
          </w:tcPr>
          <w:p w14:paraId="4F53E8EF">
            <w:pPr>
              <w:spacing w:before="40" w:after="40" w:line="240" w:lineRule="auto"/>
            </w:pPr>
            <w:r>
              <w:rPr>
                <w:sz w:val="19"/>
              </w:rPr>
              <w:t>Find a Workforce Australia Provider</w:t>
            </w:r>
          </w:p>
        </w:tc>
        <w:tc>
          <w:tcPr>
            <w:tcW w:w="3628" w:type="dxa"/>
          </w:tcPr>
          <w:p w14:paraId="703A574C">
            <w:pPr>
              <w:spacing w:before="40" w:after="40" w:line="240" w:lineRule="auto"/>
            </w:pPr>
            <w:r>
              <w:rPr>
                <w:sz w:val="19"/>
              </w:rPr>
              <w:t>Directory to find local Workforce Australia providers.</w:t>
            </w:r>
          </w:p>
        </w:tc>
        <w:tc>
          <w:tcPr>
            <w:tcW w:w="2665" w:type="dxa"/>
          </w:tcPr>
          <w:p w14:paraId="56B66F38">
            <w:pPr>
              <w:spacing w:before="40" w:after="40" w:line="240" w:lineRule="auto"/>
            </w:pPr>
            <w:r>
              <w:fldChar w:fldCharType="begin"/>
            </w:r>
            <w:r>
              <w:instrText xml:space="preserve"> HYPERLINK "https://www.workforceaustralia.gov.au/individuals/coaching/providers" \h </w:instrText>
            </w:r>
            <w:r>
              <w:fldChar w:fldCharType="separate"/>
            </w:r>
            <w:r>
              <w:rPr>
                <w:rFonts w:ascii="Calibri" w:hAnsi="Calibri"/>
                <w:color w:val="0066CC"/>
                <w:sz w:val="19"/>
                <w:u w:val="single"/>
              </w:rPr>
              <w:t>https://www.workforceaustralia.gov.au/individuals/coaching/providers</w:t>
            </w:r>
            <w:r>
              <w:rPr>
                <w:rFonts w:ascii="Calibri" w:hAnsi="Calibri"/>
                <w:color w:val="0066CC"/>
                <w:sz w:val="19"/>
                <w:u w:val="single"/>
              </w:rPr>
              <w:fldChar w:fldCharType="end"/>
            </w:r>
          </w:p>
        </w:tc>
      </w:tr>
      <w:tr w14:paraId="7F4E85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40" w:type="dxa"/>
            <w:left w:w="80" w:type="dxa"/>
            <w:bottom w:w="40" w:type="dxa"/>
            <w:right w:w="80" w:type="dxa"/>
          </w:tblCellMar>
        </w:tblPrEx>
        <w:trPr>
          <w:jc w:val="center"/>
        </w:trPr>
        <w:tc>
          <w:tcPr>
            <w:tcW w:w="3515" w:type="dxa"/>
            <w:shd w:val="clear" w:color="auto" w:fill="F5F9FC"/>
          </w:tcPr>
          <w:p w14:paraId="2DE2A840">
            <w:pPr>
              <w:spacing w:before="40" w:after="40" w:line="240" w:lineRule="auto"/>
            </w:pPr>
            <w:r>
              <w:rPr>
                <w:sz w:val="19"/>
              </w:rPr>
              <w:t>Workforce Australia Online</w:t>
            </w:r>
          </w:p>
        </w:tc>
        <w:tc>
          <w:tcPr>
            <w:tcW w:w="3628" w:type="dxa"/>
          </w:tcPr>
          <w:p w14:paraId="66BDA36E">
            <w:pPr>
              <w:spacing w:before="40" w:after="40" w:line="240" w:lineRule="auto"/>
            </w:pPr>
            <w:r>
              <w:rPr>
                <w:sz w:val="19"/>
              </w:rPr>
              <w:t>Self-manage employment services online.</w:t>
            </w:r>
          </w:p>
        </w:tc>
        <w:tc>
          <w:tcPr>
            <w:tcW w:w="2665" w:type="dxa"/>
          </w:tcPr>
          <w:p w14:paraId="14EFD9E5">
            <w:pPr>
              <w:spacing w:before="40" w:after="40" w:line="240" w:lineRule="auto"/>
            </w:pPr>
            <w:r>
              <w:fldChar w:fldCharType="begin"/>
            </w:r>
            <w:r>
              <w:instrText xml:space="preserve"> HYPERLINK "https://www.workforceaustralia.gov.au/individuals/coaching/how-to/workforce-australia" \h </w:instrText>
            </w:r>
            <w:r>
              <w:fldChar w:fldCharType="separate"/>
            </w:r>
            <w:r>
              <w:rPr>
                <w:rFonts w:ascii="Calibri" w:hAnsi="Calibri"/>
                <w:color w:val="0066CC"/>
                <w:sz w:val="19"/>
                <w:u w:val="single"/>
              </w:rPr>
              <w:t>https://www.workforceaustralia.gov.au/individuals/coaching/how-to/workforce-australia</w:t>
            </w:r>
            <w:r>
              <w:rPr>
                <w:rFonts w:ascii="Calibri" w:hAnsi="Calibri"/>
                <w:color w:val="0066CC"/>
                <w:sz w:val="19"/>
                <w:u w:val="single"/>
              </w:rPr>
              <w:fldChar w:fldCharType="end"/>
            </w:r>
          </w:p>
        </w:tc>
      </w:tr>
      <w:tr w14:paraId="07BE30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40" w:type="dxa"/>
            <w:left w:w="80" w:type="dxa"/>
            <w:bottom w:w="40" w:type="dxa"/>
            <w:right w:w="80" w:type="dxa"/>
          </w:tblCellMar>
        </w:tblPrEx>
        <w:trPr>
          <w:jc w:val="center"/>
        </w:trPr>
        <w:tc>
          <w:tcPr>
            <w:tcW w:w="3515" w:type="dxa"/>
            <w:shd w:val="clear" w:color="auto" w:fill="F5F9FC"/>
          </w:tcPr>
          <w:p w14:paraId="3537B613">
            <w:pPr>
              <w:spacing w:before="40" w:after="40" w:line="240" w:lineRule="auto"/>
            </w:pPr>
            <w:r>
              <w:rPr>
                <w:sz w:val="19"/>
              </w:rPr>
              <w:t>How to Earn Points (PBAS)</w:t>
            </w:r>
          </w:p>
        </w:tc>
        <w:tc>
          <w:tcPr>
            <w:tcW w:w="3628" w:type="dxa"/>
          </w:tcPr>
          <w:p w14:paraId="183F7EF1">
            <w:pPr>
              <w:spacing w:before="40" w:after="40" w:line="240" w:lineRule="auto"/>
            </w:pPr>
            <w:r>
              <w:rPr>
                <w:sz w:val="19"/>
              </w:rPr>
              <w:t>How to meet mutual obligations through the points system.</w:t>
            </w:r>
          </w:p>
        </w:tc>
        <w:tc>
          <w:tcPr>
            <w:tcW w:w="2665" w:type="dxa"/>
          </w:tcPr>
          <w:p w14:paraId="6D15F84F">
            <w:pPr>
              <w:spacing w:before="40" w:after="40" w:line="240" w:lineRule="auto"/>
            </w:pPr>
            <w:r>
              <w:fldChar w:fldCharType="begin"/>
            </w:r>
            <w:r>
              <w:instrText xml:space="preserve"> HYPERLINK "https://www.workforceaustralia.gov.au/individuals/obligations/learn/meet-your-obligations/earn-points" \h </w:instrText>
            </w:r>
            <w:r>
              <w:fldChar w:fldCharType="separate"/>
            </w:r>
            <w:r>
              <w:rPr>
                <w:rFonts w:ascii="Calibri" w:hAnsi="Calibri"/>
                <w:color w:val="0066CC"/>
                <w:sz w:val="19"/>
                <w:u w:val="single"/>
              </w:rPr>
              <w:t>https://www.workforceaustralia.gov.au/individuals/obligations/learn/meet-your-obligations/earn-points</w:t>
            </w:r>
            <w:r>
              <w:rPr>
                <w:rFonts w:ascii="Calibri" w:hAnsi="Calibri"/>
                <w:color w:val="0066CC"/>
                <w:sz w:val="19"/>
                <w:u w:val="single"/>
              </w:rPr>
              <w:fldChar w:fldCharType="end"/>
            </w:r>
          </w:p>
        </w:tc>
      </w:tr>
      <w:tr w14:paraId="23BAF4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40" w:type="dxa"/>
            <w:left w:w="80" w:type="dxa"/>
            <w:bottom w:w="40" w:type="dxa"/>
            <w:right w:w="80" w:type="dxa"/>
          </w:tblCellMar>
        </w:tblPrEx>
        <w:trPr>
          <w:jc w:val="center"/>
        </w:trPr>
        <w:tc>
          <w:tcPr>
            <w:tcW w:w="3515" w:type="dxa"/>
            <w:shd w:val="clear" w:color="auto" w:fill="F5F9FC"/>
          </w:tcPr>
          <w:p w14:paraId="056A1D39">
            <w:pPr>
              <w:spacing w:before="40" w:after="40" w:line="240" w:lineRule="auto"/>
            </w:pPr>
            <w:r>
              <w:rPr>
                <w:sz w:val="19"/>
              </w:rPr>
              <w:t>Mutual Obligation Requirements</w:t>
            </w:r>
          </w:p>
        </w:tc>
        <w:tc>
          <w:tcPr>
            <w:tcW w:w="3628" w:type="dxa"/>
          </w:tcPr>
          <w:p w14:paraId="041A4832">
            <w:pPr>
              <w:spacing w:before="40" w:after="40" w:line="240" w:lineRule="auto"/>
            </w:pPr>
            <w:r>
              <w:rPr>
                <w:sz w:val="19"/>
              </w:rPr>
              <w:t>Details of obligations for job seekers.</w:t>
            </w:r>
          </w:p>
        </w:tc>
        <w:tc>
          <w:tcPr>
            <w:tcW w:w="2665" w:type="dxa"/>
          </w:tcPr>
          <w:p w14:paraId="6D753268">
            <w:pPr>
              <w:spacing w:before="40" w:after="40" w:line="240" w:lineRule="auto"/>
            </w:pPr>
            <w:r>
              <w:fldChar w:fldCharType="begin"/>
            </w:r>
            <w:r>
              <w:instrText xml:space="preserve"> HYPERLINK "https://www.workforceaustralia.gov.au/individuals/obligations/learn/your-obligations/what-are-mutual-obligation-requirements" \h </w:instrText>
            </w:r>
            <w:r>
              <w:fldChar w:fldCharType="separate"/>
            </w:r>
            <w:r>
              <w:rPr>
                <w:rFonts w:ascii="Calibri" w:hAnsi="Calibri"/>
                <w:color w:val="0066CC"/>
                <w:sz w:val="19"/>
                <w:u w:val="single"/>
              </w:rPr>
              <w:t>https://www.workforceaustralia.gov.au/individuals/obligations/learn/your-obligations/what-are-mutual-obligation-requirements</w:t>
            </w:r>
            <w:r>
              <w:rPr>
                <w:rFonts w:ascii="Calibri" w:hAnsi="Calibri"/>
                <w:color w:val="0066CC"/>
                <w:sz w:val="19"/>
                <w:u w:val="single"/>
              </w:rPr>
              <w:fldChar w:fldCharType="end"/>
            </w:r>
          </w:p>
        </w:tc>
      </w:tr>
      <w:tr w14:paraId="257F5A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40" w:type="dxa"/>
            <w:left w:w="80" w:type="dxa"/>
            <w:bottom w:w="40" w:type="dxa"/>
            <w:right w:w="80" w:type="dxa"/>
          </w:tblCellMar>
        </w:tblPrEx>
        <w:trPr>
          <w:jc w:val="center"/>
        </w:trPr>
        <w:tc>
          <w:tcPr>
            <w:tcW w:w="3515" w:type="dxa"/>
            <w:shd w:val="clear" w:color="auto" w:fill="F5F9FC"/>
          </w:tcPr>
          <w:p w14:paraId="1C1D2831">
            <w:pPr>
              <w:spacing w:before="40" w:after="40" w:line="240" w:lineRule="auto"/>
            </w:pPr>
            <w:r>
              <w:rPr>
                <w:sz w:val="19"/>
              </w:rPr>
              <w:t>Pause of Obligations</w:t>
            </w:r>
          </w:p>
        </w:tc>
        <w:tc>
          <w:tcPr>
            <w:tcW w:w="3628" w:type="dxa"/>
          </w:tcPr>
          <w:p w14:paraId="4F22706D">
            <w:pPr>
              <w:spacing w:before="40" w:after="40" w:line="240" w:lineRule="auto"/>
            </w:pPr>
            <w:r>
              <w:rPr>
                <w:sz w:val="19"/>
              </w:rPr>
              <w:t>Information on temporarily pausing job seeker obligations.</w:t>
            </w:r>
          </w:p>
        </w:tc>
        <w:tc>
          <w:tcPr>
            <w:tcW w:w="2665" w:type="dxa"/>
          </w:tcPr>
          <w:p w14:paraId="46174841">
            <w:pPr>
              <w:spacing w:before="40" w:after="40" w:line="240" w:lineRule="auto"/>
            </w:pPr>
            <w:r>
              <w:fldChar w:fldCharType="begin"/>
            </w:r>
            <w:r>
              <w:instrText xml:space="preserve"> HYPERLINK "https://www.workforceaustralia.gov.au/individuals/obligations/learn/your-obligations/pause" \h </w:instrText>
            </w:r>
            <w:r>
              <w:fldChar w:fldCharType="separate"/>
            </w:r>
            <w:r>
              <w:rPr>
                <w:rFonts w:ascii="Calibri" w:hAnsi="Calibri"/>
                <w:color w:val="0066CC"/>
                <w:sz w:val="19"/>
                <w:u w:val="single"/>
              </w:rPr>
              <w:t>https://www.workforceaustralia.gov.au/individuals/obligations/learn/your-obligations/pause</w:t>
            </w:r>
            <w:r>
              <w:rPr>
                <w:rFonts w:ascii="Calibri" w:hAnsi="Calibri"/>
                <w:color w:val="0066CC"/>
                <w:sz w:val="19"/>
                <w:u w:val="single"/>
              </w:rPr>
              <w:fldChar w:fldCharType="end"/>
            </w:r>
          </w:p>
        </w:tc>
      </w:tr>
      <w:tr w14:paraId="27872C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40" w:type="dxa"/>
            <w:left w:w="80" w:type="dxa"/>
            <w:bottom w:w="40" w:type="dxa"/>
            <w:right w:w="80" w:type="dxa"/>
          </w:tblCellMar>
        </w:tblPrEx>
        <w:trPr>
          <w:jc w:val="center"/>
        </w:trPr>
        <w:tc>
          <w:tcPr>
            <w:tcW w:w="3515" w:type="dxa"/>
            <w:shd w:val="clear" w:color="auto" w:fill="F5F9FC"/>
          </w:tcPr>
          <w:p w14:paraId="0143FDB0">
            <w:pPr>
              <w:spacing w:before="40" w:after="40" w:line="240" w:lineRule="auto"/>
            </w:pPr>
            <w:r>
              <w:rPr>
                <w:sz w:val="19"/>
              </w:rPr>
              <w:t>Contact Us (Workforce Australia)</w:t>
            </w:r>
          </w:p>
        </w:tc>
        <w:tc>
          <w:tcPr>
            <w:tcW w:w="3628" w:type="dxa"/>
          </w:tcPr>
          <w:p w14:paraId="3253131E">
            <w:pPr>
              <w:spacing w:before="40" w:after="40" w:line="240" w:lineRule="auto"/>
            </w:pPr>
            <w:r>
              <w:rPr>
                <w:sz w:val="19"/>
              </w:rPr>
              <w:t>Contact information for Workforce Australia support lines.</w:t>
            </w:r>
          </w:p>
        </w:tc>
        <w:tc>
          <w:tcPr>
            <w:tcW w:w="2665" w:type="dxa"/>
          </w:tcPr>
          <w:p w14:paraId="5360552B">
            <w:pPr>
              <w:spacing w:before="40" w:after="40" w:line="240" w:lineRule="auto"/>
            </w:pPr>
            <w:r>
              <w:fldChar w:fldCharType="begin"/>
            </w:r>
            <w:r>
              <w:instrText xml:space="preserve"> HYPERLINK "https://www.workforceaustralia.gov.au/individuals/contact-us" \h </w:instrText>
            </w:r>
            <w:r>
              <w:fldChar w:fldCharType="separate"/>
            </w:r>
            <w:r>
              <w:rPr>
                <w:rFonts w:ascii="Calibri" w:hAnsi="Calibri"/>
                <w:color w:val="0066CC"/>
                <w:sz w:val="19"/>
                <w:u w:val="single"/>
              </w:rPr>
              <w:t>https://www.workforceaustralia.gov.au/individuals/contact-us</w:t>
            </w:r>
            <w:r>
              <w:rPr>
                <w:rFonts w:ascii="Calibri" w:hAnsi="Calibri"/>
                <w:color w:val="0066CC"/>
                <w:sz w:val="19"/>
                <w:u w:val="single"/>
              </w:rPr>
              <w:fldChar w:fldCharType="end"/>
            </w:r>
          </w:p>
        </w:tc>
      </w:tr>
      <w:tr w14:paraId="2AF657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40" w:type="dxa"/>
            <w:left w:w="80" w:type="dxa"/>
            <w:bottom w:w="40" w:type="dxa"/>
            <w:right w:w="80" w:type="dxa"/>
          </w:tblCellMar>
        </w:tblPrEx>
        <w:trPr>
          <w:jc w:val="center"/>
        </w:trPr>
        <w:tc>
          <w:tcPr>
            <w:tcW w:w="3515" w:type="dxa"/>
            <w:shd w:val="clear" w:color="auto" w:fill="F5F9FC"/>
          </w:tcPr>
          <w:p w14:paraId="333E8737">
            <w:pPr>
              <w:spacing w:before="40" w:after="40" w:line="240" w:lineRule="auto"/>
            </w:pPr>
            <w:r>
              <w:rPr>
                <w:sz w:val="19"/>
              </w:rPr>
              <w:t>Transition to Work</w:t>
            </w:r>
          </w:p>
        </w:tc>
        <w:tc>
          <w:tcPr>
            <w:tcW w:w="3628" w:type="dxa"/>
          </w:tcPr>
          <w:p w14:paraId="0CACDAE5">
            <w:pPr>
              <w:spacing w:before="40" w:after="40" w:line="240" w:lineRule="auto"/>
            </w:pPr>
            <w:r>
              <w:rPr>
                <w:sz w:val="19"/>
              </w:rPr>
              <w:t>Service supporting young people into employment.</w:t>
            </w:r>
          </w:p>
        </w:tc>
        <w:tc>
          <w:tcPr>
            <w:tcW w:w="2665" w:type="dxa"/>
          </w:tcPr>
          <w:p w14:paraId="644B5538">
            <w:pPr>
              <w:spacing w:before="40" w:after="40" w:line="240" w:lineRule="auto"/>
            </w:pPr>
            <w:r>
              <w:fldChar w:fldCharType="begin"/>
            </w:r>
            <w:r>
              <w:instrText xml:space="preserve"> HYPERLINK "https://www.workforceaustralia.gov.au/individuals/coaching/assistance/transition-to-work" \h </w:instrText>
            </w:r>
            <w:r>
              <w:fldChar w:fldCharType="separate"/>
            </w:r>
            <w:r>
              <w:rPr>
                <w:rFonts w:ascii="Calibri" w:hAnsi="Calibri"/>
                <w:color w:val="0066CC"/>
                <w:sz w:val="19"/>
                <w:u w:val="single"/>
              </w:rPr>
              <w:t>https://www.workforceaustralia.gov.au/individuals/coaching/assistance/transition-to-work</w:t>
            </w:r>
            <w:r>
              <w:rPr>
                <w:rFonts w:ascii="Calibri" w:hAnsi="Calibri"/>
                <w:color w:val="0066CC"/>
                <w:sz w:val="19"/>
                <w:u w:val="single"/>
              </w:rPr>
              <w:fldChar w:fldCharType="end"/>
            </w:r>
          </w:p>
        </w:tc>
      </w:tr>
      <w:tr w14:paraId="0C03BA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40" w:type="dxa"/>
            <w:left w:w="80" w:type="dxa"/>
            <w:bottom w:w="40" w:type="dxa"/>
            <w:right w:w="80" w:type="dxa"/>
          </w:tblCellMar>
        </w:tblPrEx>
        <w:trPr>
          <w:jc w:val="center"/>
        </w:trPr>
        <w:tc>
          <w:tcPr>
            <w:tcW w:w="3515" w:type="dxa"/>
            <w:shd w:val="clear" w:color="auto" w:fill="F5F9FC"/>
          </w:tcPr>
          <w:p w14:paraId="46251D87">
            <w:pPr>
              <w:spacing w:before="40" w:after="40" w:line="240" w:lineRule="auto"/>
            </w:pPr>
            <w:r>
              <w:rPr>
                <w:sz w:val="19"/>
              </w:rPr>
              <w:t>Parent Pathways (DEWR)</w:t>
            </w:r>
          </w:p>
        </w:tc>
        <w:tc>
          <w:tcPr>
            <w:tcW w:w="3628" w:type="dxa"/>
          </w:tcPr>
          <w:p w14:paraId="4E5B4FDF">
            <w:pPr>
              <w:spacing w:before="40" w:after="40" w:line="240" w:lineRule="auto"/>
            </w:pPr>
            <w:r>
              <w:rPr>
                <w:sz w:val="19"/>
              </w:rPr>
              <w:t>Employment pathway program for parents.</w:t>
            </w:r>
          </w:p>
        </w:tc>
        <w:tc>
          <w:tcPr>
            <w:tcW w:w="2665" w:type="dxa"/>
          </w:tcPr>
          <w:p w14:paraId="4B26FDF3">
            <w:pPr>
              <w:spacing w:before="40" w:after="40" w:line="240" w:lineRule="auto"/>
            </w:pPr>
            <w:r>
              <w:fldChar w:fldCharType="begin"/>
            </w:r>
            <w:r>
              <w:instrText xml:space="preserve"> HYPERLINK "https://www.dewr.gov.au/parentpathways" \h </w:instrText>
            </w:r>
            <w:r>
              <w:fldChar w:fldCharType="separate"/>
            </w:r>
            <w:r>
              <w:rPr>
                <w:rFonts w:ascii="Calibri" w:hAnsi="Calibri"/>
                <w:color w:val="0066CC"/>
                <w:sz w:val="19"/>
                <w:u w:val="single"/>
              </w:rPr>
              <w:t>https://www.dewr.gov.au/parentpathways</w:t>
            </w:r>
            <w:r>
              <w:rPr>
                <w:rFonts w:ascii="Calibri" w:hAnsi="Calibri"/>
                <w:color w:val="0066CC"/>
                <w:sz w:val="19"/>
                <w:u w:val="single"/>
              </w:rPr>
              <w:fldChar w:fldCharType="end"/>
            </w:r>
          </w:p>
        </w:tc>
      </w:tr>
      <w:tr w14:paraId="37B6C0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40" w:type="dxa"/>
            <w:left w:w="80" w:type="dxa"/>
            <w:bottom w:w="40" w:type="dxa"/>
            <w:right w:w="80" w:type="dxa"/>
          </w:tblCellMar>
        </w:tblPrEx>
        <w:trPr>
          <w:jc w:val="center"/>
        </w:trPr>
        <w:tc>
          <w:tcPr>
            <w:tcW w:w="3515" w:type="dxa"/>
            <w:shd w:val="clear" w:color="auto" w:fill="F5F9FC"/>
          </w:tcPr>
          <w:p w14:paraId="2694C142">
            <w:pPr>
              <w:spacing w:before="40" w:after="40" w:line="240" w:lineRule="auto"/>
            </w:pPr>
            <w:r>
              <w:rPr>
                <w:sz w:val="19"/>
              </w:rPr>
              <w:t>Local Jobs Program (DEWR)</w:t>
            </w:r>
          </w:p>
        </w:tc>
        <w:tc>
          <w:tcPr>
            <w:tcW w:w="3628" w:type="dxa"/>
          </w:tcPr>
          <w:p w14:paraId="03C2A9CE">
            <w:pPr>
              <w:spacing w:before="40" w:after="40" w:line="240" w:lineRule="auto"/>
            </w:pPr>
            <w:r>
              <w:rPr>
                <w:sz w:val="19"/>
              </w:rPr>
              <w:t>Federal program connecting job seekers to training and work opportunities.</w:t>
            </w:r>
          </w:p>
        </w:tc>
        <w:tc>
          <w:tcPr>
            <w:tcW w:w="2665" w:type="dxa"/>
          </w:tcPr>
          <w:p w14:paraId="263325C1">
            <w:pPr>
              <w:spacing w:before="40" w:after="40" w:line="240" w:lineRule="auto"/>
            </w:pPr>
            <w:r>
              <w:fldChar w:fldCharType="begin"/>
            </w:r>
            <w:r>
              <w:instrText xml:space="preserve"> HYPERLINK "https://www.dewr.gov.au/local-jobs" \h </w:instrText>
            </w:r>
            <w:r>
              <w:fldChar w:fldCharType="separate"/>
            </w:r>
            <w:r>
              <w:rPr>
                <w:rFonts w:ascii="Calibri" w:hAnsi="Calibri"/>
                <w:color w:val="0066CC"/>
                <w:sz w:val="19"/>
                <w:u w:val="single"/>
              </w:rPr>
              <w:t>https://www.dewr.gov.au/local-jobs</w:t>
            </w:r>
            <w:r>
              <w:rPr>
                <w:rFonts w:ascii="Calibri" w:hAnsi="Calibri"/>
                <w:color w:val="0066CC"/>
                <w:sz w:val="19"/>
                <w:u w:val="single"/>
              </w:rPr>
              <w:fldChar w:fldCharType="end"/>
            </w:r>
          </w:p>
        </w:tc>
      </w:tr>
      <w:tr w14:paraId="251A5C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40" w:type="dxa"/>
            <w:left w:w="80" w:type="dxa"/>
            <w:bottom w:w="40" w:type="dxa"/>
            <w:right w:w="80" w:type="dxa"/>
          </w:tblCellMar>
        </w:tblPrEx>
        <w:trPr>
          <w:jc w:val="center"/>
        </w:trPr>
        <w:tc>
          <w:tcPr>
            <w:tcW w:w="3515" w:type="dxa"/>
            <w:shd w:val="clear" w:color="auto" w:fill="F5F9FC"/>
          </w:tcPr>
          <w:p w14:paraId="3355918C">
            <w:pPr>
              <w:spacing w:before="40" w:after="40" w:line="240" w:lineRule="auto"/>
            </w:pPr>
            <w:r>
              <w:rPr>
                <w:sz w:val="19"/>
              </w:rPr>
              <w:t>Better Targeting Servicing (DEWR)</w:t>
            </w:r>
          </w:p>
        </w:tc>
        <w:tc>
          <w:tcPr>
            <w:tcW w:w="3628" w:type="dxa"/>
          </w:tcPr>
          <w:p w14:paraId="5A3A5C5C">
            <w:pPr>
              <w:spacing w:before="40" w:after="40" w:line="240" w:lineRule="auto"/>
            </w:pPr>
            <w:r>
              <w:rPr>
                <w:sz w:val="19"/>
              </w:rPr>
              <w:t>Service improving support for people facing employment barriers.</w:t>
            </w:r>
          </w:p>
        </w:tc>
        <w:tc>
          <w:tcPr>
            <w:tcW w:w="2665" w:type="dxa"/>
          </w:tcPr>
          <w:p w14:paraId="492BCCE2">
            <w:pPr>
              <w:spacing w:before="40" w:after="40" w:line="240" w:lineRule="auto"/>
            </w:pPr>
            <w:r>
              <w:fldChar w:fldCharType="begin"/>
            </w:r>
            <w:r>
              <w:instrText xml:space="preserve"> HYPERLINK "https://www.dewr.gov.au/employment-research-and-statistics/better-targeting-assistance-participants-employment-barriers" \h </w:instrText>
            </w:r>
            <w:r>
              <w:fldChar w:fldCharType="separate"/>
            </w:r>
            <w:r>
              <w:rPr>
                <w:rFonts w:ascii="Calibri" w:hAnsi="Calibri"/>
                <w:color w:val="0066CC"/>
                <w:sz w:val="19"/>
                <w:u w:val="single"/>
              </w:rPr>
              <w:t>https://www.dewr.gov.au/employment-research-and-statistics/better-targeting-assistance-participants-employment-barriers</w:t>
            </w:r>
            <w:r>
              <w:rPr>
                <w:rFonts w:ascii="Calibri" w:hAnsi="Calibri"/>
                <w:color w:val="0066CC"/>
                <w:sz w:val="19"/>
                <w:u w:val="single"/>
              </w:rPr>
              <w:fldChar w:fldCharType="end"/>
            </w:r>
          </w:p>
        </w:tc>
      </w:tr>
      <w:tr w14:paraId="66B1FA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40" w:type="dxa"/>
            <w:left w:w="80" w:type="dxa"/>
            <w:bottom w:w="40" w:type="dxa"/>
            <w:right w:w="80" w:type="dxa"/>
          </w:tblCellMar>
        </w:tblPrEx>
        <w:trPr>
          <w:jc w:val="center"/>
        </w:trPr>
        <w:tc>
          <w:tcPr>
            <w:tcW w:w="3515" w:type="dxa"/>
            <w:shd w:val="clear" w:color="auto" w:fill="F5F9FC"/>
          </w:tcPr>
          <w:p w14:paraId="4924ED46">
            <w:pPr>
              <w:spacing w:before="40" w:after="40" w:line="240" w:lineRule="auto"/>
            </w:pPr>
            <w:r>
              <w:rPr>
                <w:sz w:val="19"/>
              </w:rPr>
              <w:t>Complaints and Feedback (Employment Services)</w:t>
            </w:r>
          </w:p>
        </w:tc>
        <w:tc>
          <w:tcPr>
            <w:tcW w:w="3628" w:type="dxa"/>
          </w:tcPr>
          <w:p w14:paraId="6F1F33D7">
            <w:pPr>
              <w:spacing w:before="40" w:after="40" w:line="240" w:lineRule="auto"/>
            </w:pPr>
            <w:r>
              <w:rPr>
                <w:sz w:val="19"/>
              </w:rPr>
              <w:t>How to make a complaint about employment services.</w:t>
            </w:r>
          </w:p>
        </w:tc>
        <w:tc>
          <w:tcPr>
            <w:tcW w:w="2665" w:type="dxa"/>
          </w:tcPr>
          <w:p w14:paraId="6653DEFC">
            <w:pPr>
              <w:spacing w:before="40" w:after="40" w:line="240" w:lineRule="auto"/>
            </w:pPr>
            <w:r>
              <w:fldChar w:fldCharType="begin"/>
            </w:r>
            <w:r>
              <w:instrText xml:space="preserve"> HYPERLINK "https://www.dewr.gov.au/about-department/contact-us/complaints/making-complaint-about-employment-services" \h </w:instrText>
            </w:r>
            <w:r>
              <w:fldChar w:fldCharType="separate"/>
            </w:r>
            <w:r>
              <w:rPr>
                <w:rFonts w:ascii="Calibri" w:hAnsi="Calibri"/>
                <w:color w:val="0066CC"/>
                <w:sz w:val="19"/>
                <w:u w:val="single"/>
              </w:rPr>
              <w:t>https://www.dewr.gov.au/about-department/contact-us/complaints/making-complaint-about-employment-services</w:t>
            </w:r>
            <w:r>
              <w:rPr>
                <w:rFonts w:ascii="Calibri" w:hAnsi="Calibri"/>
                <w:color w:val="0066CC"/>
                <w:sz w:val="19"/>
                <w:u w:val="single"/>
              </w:rPr>
              <w:fldChar w:fldCharType="end"/>
            </w:r>
          </w:p>
        </w:tc>
      </w:tr>
    </w:tbl>
    <w:p w14:paraId="405B7962">
      <w:pPr>
        <w:pStyle w:val="4"/>
      </w:pPr>
      <w:r>
        <w:rPr>
          <w:color w:val="006B4F"/>
        </w:rPr>
        <w:t>Inclusive Employment Australia</w:t>
      </w:r>
    </w:p>
    <w:tbl>
      <w:tblPr>
        <w:tblStyle w:val="35"/>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0" w:type="dxa"/>
          <w:left w:w="80" w:type="dxa"/>
          <w:bottom w:w="40" w:type="dxa"/>
          <w:right w:w="80" w:type="dxa"/>
        </w:tblCellMar>
      </w:tblPr>
      <w:tblGrid>
        <w:gridCol w:w="3213"/>
        <w:gridCol w:w="3213"/>
        <w:gridCol w:w="3213"/>
      </w:tblGrid>
      <w:tr w14:paraId="6159FA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40" w:type="dxa"/>
            <w:left w:w="80" w:type="dxa"/>
            <w:bottom w:w="40" w:type="dxa"/>
            <w:right w:w="80" w:type="dxa"/>
          </w:tblCellMar>
        </w:tblPrEx>
        <w:trPr>
          <w:tblHeader/>
          <w:jc w:val="center"/>
        </w:trPr>
        <w:tc>
          <w:tcPr>
            <w:tcW w:w="3515" w:type="dxa"/>
            <w:shd w:val="clear" w:color="auto" w:fill="002B49"/>
          </w:tcPr>
          <w:p w14:paraId="180D8B0A">
            <w:pPr>
              <w:spacing w:before="40" w:after="40" w:line="240" w:lineRule="auto"/>
            </w:pPr>
            <w:r>
              <w:rPr>
                <w:b/>
                <w:color w:val="FFFFFF"/>
                <w:sz w:val="19"/>
              </w:rPr>
              <w:t>Title</w:t>
            </w:r>
          </w:p>
        </w:tc>
        <w:tc>
          <w:tcPr>
            <w:tcW w:w="3628" w:type="dxa"/>
            <w:shd w:val="clear" w:color="auto" w:fill="002B49"/>
          </w:tcPr>
          <w:p w14:paraId="7E19871A">
            <w:pPr>
              <w:spacing w:before="40" w:after="40" w:line="240" w:lineRule="auto"/>
            </w:pPr>
            <w:r>
              <w:rPr>
                <w:b/>
                <w:color w:val="FFFFFF"/>
                <w:sz w:val="19"/>
              </w:rPr>
              <w:t>Description</w:t>
            </w:r>
          </w:p>
        </w:tc>
        <w:tc>
          <w:tcPr>
            <w:tcW w:w="2665" w:type="dxa"/>
            <w:shd w:val="clear" w:color="auto" w:fill="002B49"/>
          </w:tcPr>
          <w:p w14:paraId="1E5E41A0">
            <w:pPr>
              <w:spacing w:before="40" w:after="40" w:line="240" w:lineRule="auto"/>
            </w:pPr>
            <w:r>
              <w:rPr>
                <w:b/>
                <w:color w:val="FFFFFF"/>
                <w:sz w:val="19"/>
              </w:rPr>
              <w:t>URL</w:t>
            </w:r>
          </w:p>
        </w:tc>
      </w:tr>
      <w:tr w14:paraId="147E71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40" w:type="dxa"/>
            <w:left w:w="80" w:type="dxa"/>
            <w:bottom w:w="40" w:type="dxa"/>
            <w:right w:w="80" w:type="dxa"/>
          </w:tblCellMar>
        </w:tblPrEx>
        <w:trPr>
          <w:jc w:val="center"/>
        </w:trPr>
        <w:tc>
          <w:tcPr>
            <w:tcW w:w="3515" w:type="dxa"/>
            <w:shd w:val="clear" w:color="auto" w:fill="F5F9FC"/>
          </w:tcPr>
          <w:p w14:paraId="746BCE6D">
            <w:pPr>
              <w:spacing w:before="40" w:after="40" w:line="240" w:lineRule="auto"/>
            </w:pPr>
            <w:r>
              <w:rPr>
                <w:sz w:val="19"/>
              </w:rPr>
              <w:t>Inclusive Employment Australia (DSS)</w:t>
            </w:r>
          </w:p>
        </w:tc>
        <w:tc>
          <w:tcPr>
            <w:tcW w:w="3628" w:type="dxa"/>
          </w:tcPr>
          <w:p w14:paraId="16A72B62">
            <w:pPr>
              <w:spacing w:before="40" w:after="40" w:line="240" w:lineRule="auto"/>
            </w:pPr>
            <w:r>
              <w:rPr>
                <w:sz w:val="19"/>
              </w:rPr>
              <w:t>Program information for Inclusive Employment Australia.</w:t>
            </w:r>
          </w:p>
        </w:tc>
        <w:tc>
          <w:tcPr>
            <w:tcW w:w="2665" w:type="dxa"/>
          </w:tcPr>
          <w:p w14:paraId="5D10134D">
            <w:pPr>
              <w:spacing w:before="40" w:after="40" w:line="240" w:lineRule="auto"/>
            </w:pPr>
            <w:r>
              <w:fldChar w:fldCharType="begin"/>
            </w:r>
            <w:r>
              <w:instrText xml:space="preserve"> HYPERLINK "https://www.dss.gov.au/inclusive-employment-australia" \h </w:instrText>
            </w:r>
            <w:r>
              <w:fldChar w:fldCharType="separate"/>
            </w:r>
            <w:r>
              <w:rPr>
                <w:rFonts w:ascii="Calibri" w:hAnsi="Calibri"/>
                <w:color w:val="0066CC"/>
                <w:sz w:val="19"/>
                <w:u w:val="single"/>
              </w:rPr>
              <w:t>https://www.dss.gov.au/inclusive-employment-australia</w:t>
            </w:r>
            <w:r>
              <w:rPr>
                <w:rFonts w:ascii="Calibri" w:hAnsi="Calibri"/>
                <w:color w:val="0066CC"/>
                <w:sz w:val="19"/>
                <w:u w:val="single"/>
              </w:rPr>
              <w:fldChar w:fldCharType="end"/>
            </w:r>
          </w:p>
        </w:tc>
      </w:tr>
      <w:tr w14:paraId="4B9C1E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40" w:type="dxa"/>
            <w:left w:w="80" w:type="dxa"/>
            <w:bottom w:w="40" w:type="dxa"/>
            <w:right w:w="80" w:type="dxa"/>
          </w:tblCellMar>
        </w:tblPrEx>
        <w:trPr>
          <w:jc w:val="center"/>
        </w:trPr>
        <w:tc>
          <w:tcPr>
            <w:tcW w:w="3515" w:type="dxa"/>
            <w:shd w:val="clear" w:color="auto" w:fill="F5F9FC"/>
          </w:tcPr>
          <w:p w14:paraId="06190A86">
            <w:pPr>
              <w:spacing w:before="40" w:after="40" w:line="240" w:lineRule="auto"/>
            </w:pPr>
            <w:r>
              <w:rPr>
                <w:sz w:val="19"/>
              </w:rPr>
              <w:t>IEA Participant Privacy Policy and Consent</w:t>
            </w:r>
          </w:p>
        </w:tc>
        <w:tc>
          <w:tcPr>
            <w:tcW w:w="3628" w:type="dxa"/>
          </w:tcPr>
          <w:p w14:paraId="5BE82158">
            <w:pPr>
              <w:spacing w:before="40" w:after="40" w:line="240" w:lineRule="auto"/>
            </w:pPr>
            <w:r>
              <w:rPr>
                <w:sz w:val="19"/>
              </w:rPr>
              <w:t>How DSS handles information for Inclusive Employment Australia.</w:t>
            </w:r>
          </w:p>
        </w:tc>
        <w:tc>
          <w:tcPr>
            <w:tcW w:w="2665" w:type="dxa"/>
          </w:tcPr>
          <w:p w14:paraId="2909CC20">
            <w:pPr>
              <w:spacing w:before="40" w:after="40" w:line="240" w:lineRule="auto"/>
            </w:pPr>
            <w:r>
              <w:fldChar w:fldCharType="begin"/>
            </w:r>
            <w:r>
              <w:instrText xml:space="preserve"> HYPERLINK "https://www.dss.gov.au/inclusive-employment-australia/inclusive-employment-australia-participant-privacy-and-consent" \h </w:instrText>
            </w:r>
            <w:r>
              <w:fldChar w:fldCharType="separate"/>
            </w:r>
            <w:r>
              <w:rPr>
                <w:rFonts w:ascii="Calibri" w:hAnsi="Calibri"/>
                <w:color w:val="0066CC"/>
                <w:sz w:val="19"/>
                <w:u w:val="single"/>
              </w:rPr>
              <w:t>https://www.dss.gov.au/inclusive-employment-australia/inclusive-employment-australia-participant-privacy-and-consent</w:t>
            </w:r>
            <w:r>
              <w:rPr>
                <w:rFonts w:ascii="Calibri" w:hAnsi="Calibri"/>
                <w:color w:val="0066CC"/>
                <w:sz w:val="19"/>
                <w:u w:val="single"/>
              </w:rPr>
              <w:fldChar w:fldCharType="end"/>
            </w:r>
          </w:p>
        </w:tc>
      </w:tr>
      <w:tr w14:paraId="1D373A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40" w:type="dxa"/>
            <w:left w:w="80" w:type="dxa"/>
            <w:bottom w:w="40" w:type="dxa"/>
            <w:right w:w="80" w:type="dxa"/>
          </w:tblCellMar>
        </w:tblPrEx>
        <w:trPr>
          <w:jc w:val="center"/>
        </w:trPr>
        <w:tc>
          <w:tcPr>
            <w:tcW w:w="3515" w:type="dxa"/>
            <w:shd w:val="clear" w:color="auto" w:fill="F5F9FC"/>
          </w:tcPr>
          <w:p w14:paraId="6B635E41">
            <w:pPr>
              <w:spacing w:before="40" w:after="40" w:line="240" w:lineRule="auto"/>
            </w:pPr>
            <w:r>
              <w:rPr>
                <w:sz w:val="19"/>
              </w:rPr>
              <w:t>IEA Complaints Resolution and Referral Service</w:t>
            </w:r>
          </w:p>
        </w:tc>
        <w:tc>
          <w:tcPr>
            <w:tcW w:w="3628" w:type="dxa"/>
          </w:tcPr>
          <w:p w14:paraId="2BAE133E">
            <w:pPr>
              <w:spacing w:before="40" w:after="40" w:line="240" w:lineRule="auto"/>
            </w:pPr>
            <w:r>
              <w:rPr>
                <w:sz w:val="19"/>
              </w:rPr>
              <w:t>How to make a complaint or discuss referral to IEA services.</w:t>
            </w:r>
          </w:p>
        </w:tc>
        <w:tc>
          <w:tcPr>
            <w:tcW w:w="2665" w:type="dxa"/>
          </w:tcPr>
          <w:p w14:paraId="52C813BD">
            <w:pPr>
              <w:spacing w:before="40" w:after="40" w:line="240" w:lineRule="auto"/>
            </w:pPr>
            <w:r>
              <w:fldChar w:fldCharType="begin"/>
            </w:r>
            <w:r>
              <w:instrText xml:space="preserve"> HYPERLINK "https://www.dss.gov.au/inclusive-employment-australia/complaints-about-inclusive-employment-australia-providers" \h </w:instrText>
            </w:r>
            <w:r>
              <w:fldChar w:fldCharType="separate"/>
            </w:r>
            <w:r>
              <w:rPr>
                <w:rFonts w:ascii="Calibri" w:hAnsi="Calibri"/>
                <w:color w:val="0066CC"/>
                <w:sz w:val="19"/>
                <w:u w:val="single"/>
              </w:rPr>
              <w:t>https://www.dss.gov.au/inclusive-employment-australia/complaints-about-inclusive-employment-australia-providers</w:t>
            </w:r>
            <w:r>
              <w:rPr>
                <w:rFonts w:ascii="Calibri" w:hAnsi="Calibri"/>
                <w:color w:val="0066CC"/>
                <w:sz w:val="19"/>
                <w:u w:val="single"/>
              </w:rPr>
              <w:fldChar w:fldCharType="end"/>
            </w:r>
          </w:p>
        </w:tc>
      </w:tr>
      <w:tr w14:paraId="3AB60B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40" w:type="dxa"/>
            <w:left w:w="80" w:type="dxa"/>
            <w:bottom w:w="40" w:type="dxa"/>
            <w:right w:w="80" w:type="dxa"/>
          </w:tblCellMar>
        </w:tblPrEx>
        <w:trPr>
          <w:jc w:val="center"/>
        </w:trPr>
        <w:tc>
          <w:tcPr>
            <w:tcW w:w="3515" w:type="dxa"/>
            <w:shd w:val="clear" w:color="auto" w:fill="F5F9FC"/>
          </w:tcPr>
          <w:p w14:paraId="176116FE">
            <w:pPr>
              <w:spacing w:before="40" w:after="40" w:line="240" w:lineRule="auto"/>
            </w:pPr>
            <w:r>
              <w:rPr>
                <w:sz w:val="19"/>
              </w:rPr>
              <w:t>Job Access</w:t>
            </w:r>
          </w:p>
        </w:tc>
        <w:tc>
          <w:tcPr>
            <w:tcW w:w="3628" w:type="dxa"/>
          </w:tcPr>
          <w:p w14:paraId="3F38E193">
            <w:pPr>
              <w:spacing w:before="40" w:after="40" w:line="240" w:lineRule="auto"/>
            </w:pPr>
            <w:r>
              <w:rPr>
                <w:sz w:val="19"/>
              </w:rPr>
              <w:t>Advice, information and funding to support people with disability, employers and service providers.</w:t>
            </w:r>
          </w:p>
        </w:tc>
        <w:tc>
          <w:tcPr>
            <w:tcW w:w="2665" w:type="dxa"/>
          </w:tcPr>
          <w:p w14:paraId="4A516F0E">
            <w:pPr>
              <w:spacing w:before="40" w:after="40" w:line="240" w:lineRule="auto"/>
            </w:pPr>
            <w:r>
              <w:fldChar w:fldCharType="begin"/>
            </w:r>
            <w:r>
              <w:instrText xml:space="preserve"> HYPERLINK "https://www.jobaccess.gov.au" \h </w:instrText>
            </w:r>
            <w:r>
              <w:fldChar w:fldCharType="separate"/>
            </w:r>
            <w:r>
              <w:rPr>
                <w:rFonts w:ascii="Calibri" w:hAnsi="Calibri"/>
                <w:color w:val="0066CC"/>
                <w:sz w:val="19"/>
                <w:u w:val="single"/>
              </w:rPr>
              <w:t>https://www.jobaccess.gov.au</w:t>
            </w:r>
            <w:r>
              <w:rPr>
                <w:rFonts w:ascii="Calibri" w:hAnsi="Calibri"/>
                <w:color w:val="0066CC"/>
                <w:sz w:val="19"/>
                <w:u w:val="single"/>
              </w:rPr>
              <w:fldChar w:fldCharType="end"/>
            </w:r>
          </w:p>
        </w:tc>
      </w:tr>
      <w:tr w14:paraId="347E71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40" w:type="dxa"/>
            <w:left w:w="80" w:type="dxa"/>
            <w:bottom w:w="40" w:type="dxa"/>
            <w:right w:w="80" w:type="dxa"/>
          </w:tblCellMar>
        </w:tblPrEx>
        <w:trPr>
          <w:jc w:val="center"/>
        </w:trPr>
        <w:tc>
          <w:tcPr>
            <w:tcW w:w="3515" w:type="dxa"/>
            <w:shd w:val="clear" w:color="auto" w:fill="F5F9FC"/>
          </w:tcPr>
          <w:p w14:paraId="2EAD1CCD">
            <w:pPr>
              <w:spacing w:before="40" w:after="40" w:line="240" w:lineRule="auto"/>
            </w:pPr>
            <w:r>
              <w:rPr>
                <w:sz w:val="19"/>
              </w:rPr>
              <w:t>Department of Social Services (DSS)</w:t>
            </w:r>
          </w:p>
        </w:tc>
        <w:tc>
          <w:tcPr>
            <w:tcW w:w="3628" w:type="dxa"/>
          </w:tcPr>
          <w:p w14:paraId="546DEB27">
            <w:pPr>
              <w:spacing w:before="40" w:after="40" w:line="240" w:lineRule="auto"/>
            </w:pPr>
            <w:r>
              <w:rPr>
                <w:sz w:val="19"/>
              </w:rPr>
              <w:t>Federal department responsible for IEA and support programs.</w:t>
            </w:r>
          </w:p>
        </w:tc>
        <w:tc>
          <w:tcPr>
            <w:tcW w:w="2665" w:type="dxa"/>
          </w:tcPr>
          <w:p w14:paraId="562A36F6">
            <w:pPr>
              <w:spacing w:before="40" w:after="40" w:line="240" w:lineRule="auto"/>
            </w:pPr>
            <w:r>
              <w:fldChar w:fldCharType="begin"/>
            </w:r>
            <w:r>
              <w:instrText xml:space="preserve"> HYPERLINK "https://www.dss.gov.au" \h </w:instrText>
            </w:r>
            <w:r>
              <w:fldChar w:fldCharType="separate"/>
            </w:r>
            <w:r>
              <w:rPr>
                <w:rFonts w:ascii="Calibri" w:hAnsi="Calibri"/>
                <w:color w:val="0066CC"/>
                <w:sz w:val="19"/>
                <w:u w:val="single"/>
              </w:rPr>
              <w:t>https://www.dss.gov.au</w:t>
            </w:r>
            <w:r>
              <w:rPr>
                <w:rFonts w:ascii="Calibri" w:hAnsi="Calibri"/>
                <w:color w:val="0066CC"/>
                <w:sz w:val="19"/>
                <w:u w:val="single"/>
              </w:rPr>
              <w:fldChar w:fldCharType="end"/>
            </w:r>
          </w:p>
        </w:tc>
      </w:tr>
    </w:tbl>
    <w:p w14:paraId="0F7FF975">
      <w:pPr>
        <w:pStyle w:val="4"/>
      </w:pPr>
      <w:r>
        <w:rPr>
          <w:color w:val="006B4F"/>
        </w:rPr>
        <w:t>AMEP and English Services</w:t>
      </w:r>
    </w:p>
    <w:tbl>
      <w:tblPr>
        <w:tblStyle w:val="35"/>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0" w:type="dxa"/>
          <w:left w:w="80" w:type="dxa"/>
          <w:bottom w:w="40" w:type="dxa"/>
          <w:right w:w="80" w:type="dxa"/>
        </w:tblCellMar>
      </w:tblPr>
      <w:tblGrid>
        <w:gridCol w:w="3213"/>
        <w:gridCol w:w="3213"/>
        <w:gridCol w:w="3213"/>
      </w:tblGrid>
      <w:tr w14:paraId="0E0921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40" w:type="dxa"/>
            <w:left w:w="80" w:type="dxa"/>
            <w:bottom w:w="40" w:type="dxa"/>
            <w:right w:w="80" w:type="dxa"/>
          </w:tblCellMar>
        </w:tblPrEx>
        <w:trPr>
          <w:tblHeader/>
          <w:jc w:val="center"/>
        </w:trPr>
        <w:tc>
          <w:tcPr>
            <w:tcW w:w="3515" w:type="dxa"/>
            <w:shd w:val="clear" w:color="auto" w:fill="002B49"/>
          </w:tcPr>
          <w:p w14:paraId="01D757D3">
            <w:pPr>
              <w:spacing w:before="40" w:after="40" w:line="240" w:lineRule="auto"/>
            </w:pPr>
            <w:r>
              <w:rPr>
                <w:b/>
                <w:color w:val="FFFFFF"/>
                <w:sz w:val="19"/>
              </w:rPr>
              <w:t>Title</w:t>
            </w:r>
          </w:p>
        </w:tc>
        <w:tc>
          <w:tcPr>
            <w:tcW w:w="3628" w:type="dxa"/>
            <w:shd w:val="clear" w:color="auto" w:fill="002B49"/>
          </w:tcPr>
          <w:p w14:paraId="3D857D8B">
            <w:pPr>
              <w:spacing w:before="40" w:after="40" w:line="240" w:lineRule="auto"/>
            </w:pPr>
            <w:r>
              <w:rPr>
                <w:b/>
                <w:color w:val="FFFFFF"/>
                <w:sz w:val="19"/>
              </w:rPr>
              <w:t>Description</w:t>
            </w:r>
          </w:p>
        </w:tc>
        <w:tc>
          <w:tcPr>
            <w:tcW w:w="2665" w:type="dxa"/>
            <w:shd w:val="clear" w:color="auto" w:fill="002B49"/>
          </w:tcPr>
          <w:p w14:paraId="581C537A">
            <w:pPr>
              <w:spacing w:before="40" w:after="40" w:line="240" w:lineRule="auto"/>
            </w:pPr>
            <w:r>
              <w:rPr>
                <w:b/>
                <w:color w:val="FFFFFF"/>
                <w:sz w:val="19"/>
              </w:rPr>
              <w:t>URL</w:t>
            </w:r>
          </w:p>
        </w:tc>
      </w:tr>
      <w:tr w14:paraId="46F2B8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40" w:type="dxa"/>
            <w:left w:w="80" w:type="dxa"/>
            <w:bottom w:w="40" w:type="dxa"/>
            <w:right w:w="80" w:type="dxa"/>
          </w:tblCellMar>
        </w:tblPrEx>
        <w:trPr>
          <w:jc w:val="center"/>
        </w:trPr>
        <w:tc>
          <w:tcPr>
            <w:tcW w:w="3515" w:type="dxa"/>
            <w:shd w:val="clear" w:color="auto" w:fill="F5F9FC"/>
          </w:tcPr>
          <w:p w14:paraId="77AD858C">
            <w:pPr>
              <w:spacing w:before="40" w:after="40" w:line="240" w:lineRule="auto"/>
            </w:pPr>
            <w:r>
              <w:rPr>
                <w:sz w:val="19"/>
              </w:rPr>
              <w:t>Adult Migrant English Program (AMEP)</w:t>
            </w:r>
          </w:p>
        </w:tc>
        <w:tc>
          <w:tcPr>
            <w:tcW w:w="3628" w:type="dxa"/>
          </w:tcPr>
          <w:p w14:paraId="2F7BB318">
            <w:pPr>
              <w:spacing w:before="40" w:after="40" w:line="240" w:lineRule="auto"/>
            </w:pPr>
            <w:r>
              <w:rPr>
                <w:sz w:val="19"/>
              </w:rPr>
              <w:t>Free English classes to help migrants and refugees settle in Australia.</w:t>
            </w:r>
          </w:p>
        </w:tc>
        <w:tc>
          <w:tcPr>
            <w:tcW w:w="2665" w:type="dxa"/>
          </w:tcPr>
          <w:p w14:paraId="0B92FA3A">
            <w:pPr>
              <w:spacing w:before="40" w:after="40" w:line="240" w:lineRule="auto"/>
            </w:pPr>
            <w:r>
              <w:fldChar w:fldCharType="begin"/>
            </w:r>
            <w:r>
              <w:instrText xml:space="preserve"> HYPERLINK "https://immi.homeaffairs.gov.au/settling-in-australia/amep/about-the-program" \h </w:instrText>
            </w:r>
            <w:r>
              <w:fldChar w:fldCharType="separate"/>
            </w:r>
            <w:r>
              <w:rPr>
                <w:rFonts w:ascii="Calibri" w:hAnsi="Calibri"/>
                <w:color w:val="0066CC"/>
                <w:sz w:val="19"/>
                <w:u w:val="single"/>
              </w:rPr>
              <w:t>https://immi.homeaffairs.gov.au/settling-in-australia/amep/about-the-program</w:t>
            </w:r>
            <w:r>
              <w:rPr>
                <w:rFonts w:ascii="Calibri" w:hAnsi="Calibri"/>
                <w:color w:val="0066CC"/>
                <w:sz w:val="19"/>
                <w:u w:val="single"/>
              </w:rPr>
              <w:fldChar w:fldCharType="end"/>
            </w:r>
          </w:p>
        </w:tc>
      </w:tr>
      <w:tr w14:paraId="6DE8AA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40" w:type="dxa"/>
            <w:left w:w="80" w:type="dxa"/>
            <w:bottom w:w="40" w:type="dxa"/>
            <w:right w:w="80" w:type="dxa"/>
          </w:tblCellMar>
        </w:tblPrEx>
        <w:trPr>
          <w:jc w:val="center"/>
        </w:trPr>
        <w:tc>
          <w:tcPr>
            <w:tcW w:w="3515" w:type="dxa"/>
            <w:shd w:val="clear" w:color="auto" w:fill="F5F9FC"/>
          </w:tcPr>
          <w:p w14:paraId="4AE71672">
            <w:pPr>
              <w:spacing w:before="40" w:after="40" w:line="240" w:lineRule="auto"/>
            </w:pPr>
            <w:r>
              <w:rPr>
                <w:sz w:val="19"/>
              </w:rPr>
              <w:t>AMEP Providers and Locations (Australia wide)</w:t>
            </w:r>
          </w:p>
        </w:tc>
        <w:tc>
          <w:tcPr>
            <w:tcW w:w="3628" w:type="dxa"/>
          </w:tcPr>
          <w:p w14:paraId="53538B7A">
            <w:pPr>
              <w:spacing w:before="40" w:after="40" w:line="240" w:lineRule="auto"/>
            </w:pPr>
            <w:r>
              <w:rPr>
                <w:sz w:val="19"/>
              </w:rPr>
              <w:t>Find AMEP class providers across Australia.</w:t>
            </w:r>
          </w:p>
        </w:tc>
        <w:tc>
          <w:tcPr>
            <w:tcW w:w="2665" w:type="dxa"/>
          </w:tcPr>
          <w:p w14:paraId="3459077D">
            <w:pPr>
              <w:spacing w:before="40" w:after="40" w:line="240" w:lineRule="auto"/>
            </w:pPr>
            <w:r>
              <w:fldChar w:fldCharType="begin"/>
            </w:r>
            <w:r>
              <w:instrText xml:space="preserve"> HYPERLINK "https://immi.homeaffairs.gov.au/settling-in-australia/amep/find-a-class/providers-and-locations" \h </w:instrText>
            </w:r>
            <w:r>
              <w:fldChar w:fldCharType="separate"/>
            </w:r>
            <w:r>
              <w:rPr>
                <w:rFonts w:ascii="Calibri" w:hAnsi="Calibri"/>
                <w:color w:val="0066CC"/>
                <w:sz w:val="19"/>
                <w:u w:val="single"/>
              </w:rPr>
              <w:t>https://immi.homeaffairs.gov.au/settling-in-australia/amep/find-a-class/providers-and-locations</w:t>
            </w:r>
            <w:r>
              <w:rPr>
                <w:rFonts w:ascii="Calibri" w:hAnsi="Calibri"/>
                <w:color w:val="0066CC"/>
                <w:sz w:val="19"/>
                <w:u w:val="single"/>
              </w:rPr>
              <w:fldChar w:fldCharType="end"/>
            </w:r>
          </w:p>
        </w:tc>
      </w:tr>
      <w:tr w14:paraId="058391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40" w:type="dxa"/>
            <w:left w:w="80" w:type="dxa"/>
            <w:bottom w:w="40" w:type="dxa"/>
            <w:right w:w="80" w:type="dxa"/>
          </w:tblCellMar>
        </w:tblPrEx>
        <w:trPr>
          <w:jc w:val="center"/>
        </w:trPr>
        <w:tc>
          <w:tcPr>
            <w:tcW w:w="3515" w:type="dxa"/>
            <w:shd w:val="clear" w:color="auto" w:fill="F5F9FC"/>
          </w:tcPr>
          <w:p w14:paraId="0AA34B06">
            <w:pPr>
              <w:spacing w:before="40" w:after="40" w:line="240" w:lineRule="auto"/>
            </w:pPr>
            <w:r>
              <w:rPr>
                <w:sz w:val="19"/>
              </w:rPr>
              <w:t>AMEP Distance Learning</w:t>
            </w:r>
          </w:p>
        </w:tc>
        <w:tc>
          <w:tcPr>
            <w:tcW w:w="3628" w:type="dxa"/>
          </w:tcPr>
          <w:p w14:paraId="050F8E07">
            <w:pPr>
              <w:spacing w:before="40" w:after="40" w:line="240" w:lineRule="auto"/>
            </w:pPr>
            <w:r>
              <w:rPr>
                <w:sz w:val="19"/>
              </w:rPr>
              <w:t>Online and distance AMEP learning options.</w:t>
            </w:r>
          </w:p>
        </w:tc>
        <w:tc>
          <w:tcPr>
            <w:tcW w:w="2665" w:type="dxa"/>
          </w:tcPr>
          <w:p w14:paraId="6386898E">
            <w:pPr>
              <w:spacing w:before="40" w:after="40" w:line="240" w:lineRule="auto"/>
            </w:pPr>
            <w:r>
              <w:fldChar w:fldCharType="begin"/>
            </w:r>
            <w:r>
              <w:instrText xml:space="preserve"> HYPERLINK "https://immi.homeaffairs.gov.au/settling-in-australia/amep/find-a-class/distance-learning" \h </w:instrText>
            </w:r>
            <w:r>
              <w:fldChar w:fldCharType="separate"/>
            </w:r>
            <w:r>
              <w:rPr>
                <w:rFonts w:ascii="Calibri" w:hAnsi="Calibri"/>
                <w:color w:val="0066CC"/>
                <w:sz w:val="19"/>
                <w:u w:val="single"/>
              </w:rPr>
              <w:t>https://immi.homeaffairs.gov.au/settling-in-australia/amep/find-a-class/distance-learning</w:t>
            </w:r>
            <w:r>
              <w:rPr>
                <w:rFonts w:ascii="Calibri" w:hAnsi="Calibri"/>
                <w:color w:val="0066CC"/>
                <w:sz w:val="19"/>
                <w:u w:val="single"/>
              </w:rPr>
              <w:fldChar w:fldCharType="end"/>
            </w:r>
          </w:p>
        </w:tc>
      </w:tr>
      <w:tr w14:paraId="5BAA94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40" w:type="dxa"/>
            <w:left w:w="80" w:type="dxa"/>
            <w:bottom w:w="40" w:type="dxa"/>
            <w:right w:w="80" w:type="dxa"/>
          </w:tblCellMar>
        </w:tblPrEx>
        <w:trPr>
          <w:jc w:val="center"/>
        </w:trPr>
        <w:tc>
          <w:tcPr>
            <w:tcW w:w="3515" w:type="dxa"/>
            <w:shd w:val="clear" w:color="auto" w:fill="F5F9FC"/>
          </w:tcPr>
          <w:p w14:paraId="509AB5C5">
            <w:pPr>
              <w:spacing w:before="40" w:after="40" w:line="240" w:lineRule="auto"/>
            </w:pPr>
            <w:r>
              <w:rPr>
                <w:sz w:val="19"/>
              </w:rPr>
              <w:t>AMEP Online</w:t>
            </w:r>
          </w:p>
        </w:tc>
        <w:tc>
          <w:tcPr>
            <w:tcW w:w="3628" w:type="dxa"/>
          </w:tcPr>
          <w:p w14:paraId="3C50C29C">
            <w:pPr>
              <w:spacing w:before="40" w:after="40" w:line="240" w:lineRule="auto"/>
            </w:pPr>
            <w:r>
              <w:rPr>
                <w:sz w:val="19"/>
              </w:rPr>
              <w:t>Online platform for AMEP students.</w:t>
            </w:r>
          </w:p>
        </w:tc>
        <w:tc>
          <w:tcPr>
            <w:tcW w:w="2665" w:type="dxa"/>
          </w:tcPr>
          <w:p w14:paraId="42498A17">
            <w:pPr>
              <w:spacing w:before="40" w:after="40" w:line="240" w:lineRule="auto"/>
            </w:pPr>
            <w:r>
              <w:fldChar w:fldCharType="begin"/>
            </w:r>
            <w:r>
              <w:instrText xml:space="preserve"> HYPERLINK "https://ameponline.homeaffairs.gov.au" \h </w:instrText>
            </w:r>
            <w:r>
              <w:fldChar w:fldCharType="separate"/>
            </w:r>
            <w:r>
              <w:rPr>
                <w:rFonts w:ascii="Calibri" w:hAnsi="Calibri"/>
                <w:color w:val="0066CC"/>
                <w:sz w:val="19"/>
                <w:u w:val="single"/>
              </w:rPr>
              <w:t>https://ameponline.homeaffairs.gov.au</w:t>
            </w:r>
            <w:r>
              <w:rPr>
                <w:rFonts w:ascii="Calibri" w:hAnsi="Calibri"/>
                <w:color w:val="0066CC"/>
                <w:sz w:val="19"/>
                <w:u w:val="single"/>
              </w:rPr>
              <w:fldChar w:fldCharType="end"/>
            </w:r>
          </w:p>
        </w:tc>
      </w:tr>
      <w:tr w14:paraId="639AA5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40" w:type="dxa"/>
            <w:left w:w="80" w:type="dxa"/>
            <w:bottom w:w="40" w:type="dxa"/>
            <w:right w:w="80" w:type="dxa"/>
          </w:tblCellMar>
        </w:tblPrEx>
        <w:trPr>
          <w:jc w:val="center"/>
        </w:trPr>
        <w:tc>
          <w:tcPr>
            <w:tcW w:w="3515" w:type="dxa"/>
            <w:shd w:val="clear" w:color="auto" w:fill="F5F9FC"/>
          </w:tcPr>
          <w:p w14:paraId="0E6B188B">
            <w:pPr>
              <w:spacing w:before="40" w:after="40" w:line="240" w:lineRule="auto"/>
            </w:pPr>
            <w:r>
              <w:rPr>
                <w:sz w:val="19"/>
              </w:rPr>
              <w:t>TAFE Queensland — AMEP</w:t>
            </w:r>
          </w:p>
        </w:tc>
        <w:tc>
          <w:tcPr>
            <w:tcW w:w="3628" w:type="dxa"/>
          </w:tcPr>
          <w:p w14:paraId="00C625CB">
            <w:pPr>
              <w:spacing w:before="40" w:after="40" w:line="240" w:lineRule="auto"/>
            </w:pPr>
            <w:r>
              <w:rPr>
                <w:sz w:val="19"/>
              </w:rPr>
              <w:t>Regional AMEP provider (Mount Gravatt and Loganlea).</w:t>
            </w:r>
          </w:p>
        </w:tc>
        <w:tc>
          <w:tcPr>
            <w:tcW w:w="2665" w:type="dxa"/>
          </w:tcPr>
          <w:p w14:paraId="745DF0FE">
            <w:pPr>
              <w:spacing w:before="40" w:after="40" w:line="240" w:lineRule="auto"/>
            </w:pPr>
            <w:r>
              <w:fldChar w:fldCharType="begin"/>
            </w:r>
            <w:r>
              <w:instrText xml:space="preserve"> HYPERLINK "https://tafeqld.edu.au/courses/course-types/tells/amep" \h </w:instrText>
            </w:r>
            <w:r>
              <w:fldChar w:fldCharType="separate"/>
            </w:r>
            <w:r>
              <w:rPr>
                <w:rFonts w:ascii="Calibri" w:hAnsi="Calibri"/>
                <w:color w:val="0066CC"/>
                <w:sz w:val="19"/>
                <w:u w:val="single"/>
              </w:rPr>
              <w:t>https://tafeqld.edu.au/courses/course-types/tells/amep</w:t>
            </w:r>
            <w:r>
              <w:rPr>
                <w:rFonts w:ascii="Calibri" w:hAnsi="Calibri"/>
                <w:color w:val="0066CC"/>
                <w:sz w:val="19"/>
                <w:u w:val="single"/>
              </w:rPr>
              <w:fldChar w:fldCharType="end"/>
            </w:r>
          </w:p>
        </w:tc>
      </w:tr>
      <w:tr w14:paraId="56D76C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40" w:type="dxa"/>
            <w:left w:w="80" w:type="dxa"/>
            <w:bottom w:w="40" w:type="dxa"/>
            <w:right w:w="80" w:type="dxa"/>
          </w:tblCellMar>
        </w:tblPrEx>
        <w:trPr>
          <w:jc w:val="center"/>
        </w:trPr>
        <w:tc>
          <w:tcPr>
            <w:tcW w:w="3515" w:type="dxa"/>
            <w:shd w:val="clear" w:color="auto" w:fill="F5F9FC"/>
          </w:tcPr>
          <w:p w14:paraId="45749405">
            <w:pPr>
              <w:spacing w:before="40" w:after="40" w:line="240" w:lineRule="auto"/>
            </w:pPr>
            <w:r>
              <w:rPr>
                <w:sz w:val="19"/>
              </w:rPr>
              <w:t>Skills for Education and Employment (SEE)</w:t>
            </w:r>
          </w:p>
        </w:tc>
        <w:tc>
          <w:tcPr>
            <w:tcW w:w="3628" w:type="dxa"/>
          </w:tcPr>
          <w:p w14:paraId="35CA8006">
            <w:pPr>
              <w:spacing w:before="40" w:after="40" w:line="240" w:lineRule="auto"/>
            </w:pPr>
            <w:r>
              <w:rPr>
                <w:sz w:val="19"/>
              </w:rPr>
              <w:t>Training to develop language, literacy and numeracy skills.</w:t>
            </w:r>
          </w:p>
        </w:tc>
        <w:tc>
          <w:tcPr>
            <w:tcW w:w="2665" w:type="dxa"/>
          </w:tcPr>
          <w:p w14:paraId="61122650">
            <w:pPr>
              <w:spacing w:before="40" w:after="40" w:line="240" w:lineRule="auto"/>
            </w:pPr>
            <w:r>
              <w:fldChar w:fldCharType="begin"/>
            </w:r>
            <w:r>
              <w:instrText xml:space="preserve"> HYPERLINK "https://www.dewr.gov.au/skills-education-and-employment" \h </w:instrText>
            </w:r>
            <w:r>
              <w:fldChar w:fldCharType="separate"/>
            </w:r>
            <w:r>
              <w:rPr>
                <w:rFonts w:ascii="Calibri" w:hAnsi="Calibri"/>
                <w:color w:val="0066CC"/>
                <w:sz w:val="19"/>
                <w:u w:val="single"/>
              </w:rPr>
              <w:t>https://www.dewr.gov.au/skills-education-and-employment</w:t>
            </w:r>
            <w:r>
              <w:rPr>
                <w:rFonts w:ascii="Calibri" w:hAnsi="Calibri"/>
                <w:color w:val="0066CC"/>
                <w:sz w:val="19"/>
                <w:u w:val="single"/>
              </w:rPr>
              <w:fldChar w:fldCharType="end"/>
            </w:r>
          </w:p>
        </w:tc>
      </w:tr>
      <w:tr w14:paraId="7D0A41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40" w:type="dxa"/>
            <w:left w:w="80" w:type="dxa"/>
            <w:bottom w:w="40" w:type="dxa"/>
            <w:right w:w="80" w:type="dxa"/>
          </w:tblCellMar>
        </w:tblPrEx>
        <w:trPr>
          <w:jc w:val="center"/>
        </w:trPr>
        <w:tc>
          <w:tcPr>
            <w:tcW w:w="3515" w:type="dxa"/>
            <w:shd w:val="clear" w:color="auto" w:fill="F5F9FC"/>
          </w:tcPr>
          <w:p w14:paraId="77726483">
            <w:pPr>
              <w:spacing w:before="40" w:after="40" w:line="240" w:lineRule="auto"/>
            </w:pPr>
            <w:r>
              <w:rPr>
                <w:sz w:val="19"/>
              </w:rPr>
              <w:t>SEE First Nations</w:t>
            </w:r>
          </w:p>
        </w:tc>
        <w:tc>
          <w:tcPr>
            <w:tcW w:w="3628" w:type="dxa"/>
          </w:tcPr>
          <w:p w14:paraId="1D724DF3">
            <w:pPr>
              <w:spacing w:before="40" w:after="40" w:line="240" w:lineRule="auto"/>
            </w:pPr>
            <w:r>
              <w:rPr>
                <w:sz w:val="19"/>
              </w:rPr>
              <w:t>SEE program for First Nations participants.</w:t>
            </w:r>
          </w:p>
        </w:tc>
        <w:tc>
          <w:tcPr>
            <w:tcW w:w="2665" w:type="dxa"/>
          </w:tcPr>
          <w:p w14:paraId="1F5FCBAD">
            <w:pPr>
              <w:spacing w:before="40" w:after="40" w:line="240" w:lineRule="auto"/>
            </w:pPr>
            <w:r>
              <w:fldChar w:fldCharType="begin"/>
            </w:r>
            <w:r>
              <w:instrText xml:space="preserve"> HYPERLINK "https://www.dewr.gov.au/skills-education-and-employment/see-first-nations" \h </w:instrText>
            </w:r>
            <w:r>
              <w:fldChar w:fldCharType="separate"/>
            </w:r>
            <w:r>
              <w:rPr>
                <w:rFonts w:ascii="Calibri" w:hAnsi="Calibri"/>
                <w:color w:val="0066CC"/>
                <w:sz w:val="19"/>
                <w:u w:val="single"/>
              </w:rPr>
              <w:t>https://www.dewr.gov.au/skills-education-and-employment/see-first-nations</w:t>
            </w:r>
            <w:r>
              <w:rPr>
                <w:rFonts w:ascii="Calibri" w:hAnsi="Calibri"/>
                <w:color w:val="0066CC"/>
                <w:sz w:val="19"/>
                <w:u w:val="single"/>
              </w:rPr>
              <w:fldChar w:fldCharType="end"/>
            </w:r>
          </w:p>
        </w:tc>
      </w:tr>
      <w:tr w14:paraId="3CF1EB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40" w:type="dxa"/>
            <w:left w:w="80" w:type="dxa"/>
            <w:bottom w:w="40" w:type="dxa"/>
            <w:right w:w="80" w:type="dxa"/>
          </w:tblCellMar>
        </w:tblPrEx>
        <w:trPr>
          <w:jc w:val="center"/>
        </w:trPr>
        <w:tc>
          <w:tcPr>
            <w:tcW w:w="3515" w:type="dxa"/>
            <w:shd w:val="clear" w:color="auto" w:fill="F5F9FC"/>
          </w:tcPr>
          <w:p w14:paraId="10625ACF">
            <w:pPr>
              <w:spacing w:before="40" w:after="40" w:line="240" w:lineRule="auto"/>
            </w:pPr>
            <w:r>
              <w:rPr>
                <w:sz w:val="19"/>
              </w:rPr>
              <w:t>SEE for Employers, Industry Associations and Unions</w:t>
            </w:r>
          </w:p>
        </w:tc>
        <w:tc>
          <w:tcPr>
            <w:tcW w:w="3628" w:type="dxa"/>
          </w:tcPr>
          <w:p w14:paraId="7DBF1F44">
            <w:pPr>
              <w:spacing w:before="40" w:after="40" w:line="240" w:lineRule="auto"/>
            </w:pPr>
            <w:r>
              <w:rPr>
                <w:sz w:val="19"/>
              </w:rPr>
              <w:t>SEE assistance for employers, industry associations and unions.</w:t>
            </w:r>
          </w:p>
        </w:tc>
        <w:tc>
          <w:tcPr>
            <w:tcW w:w="2665" w:type="dxa"/>
          </w:tcPr>
          <w:p w14:paraId="46FE3C34">
            <w:pPr>
              <w:spacing w:before="40" w:after="40" w:line="240" w:lineRule="auto"/>
            </w:pPr>
            <w:r>
              <w:fldChar w:fldCharType="begin"/>
            </w:r>
            <w:r>
              <w:instrText xml:space="preserve"> HYPERLINK "https://www.dewr.gov.au/skills-education-and-employment/employers-industry-associations-and-unions" \h </w:instrText>
            </w:r>
            <w:r>
              <w:fldChar w:fldCharType="separate"/>
            </w:r>
            <w:r>
              <w:rPr>
                <w:rFonts w:ascii="Calibri" w:hAnsi="Calibri"/>
                <w:color w:val="0066CC"/>
                <w:sz w:val="19"/>
                <w:u w:val="single"/>
              </w:rPr>
              <w:t>https://www.dewr.gov.au/skills-education-and-employment/employers-industry-associations-and-unions</w:t>
            </w:r>
            <w:r>
              <w:rPr>
                <w:rFonts w:ascii="Calibri" w:hAnsi="Calibri"/>
                <w:color w:val="0066CC"/>
                <w:sz w:val="19"/>
                <w:u w:val="single"/>
              </w:rPr>
              <w:fldChar w:fldCharType="end"/>
            </w:r>
          </w:p>
        </w:tc>
      </w:tr>
      <w:tr w14:paraId="693896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40" w:type="dxa"/>
            <w:left w:w="80" w:type="dxa"/>
            <w:bottom w:w="40" w:type="dxa"/>
            <w:right w:w="80" w:type="dxa"/>
          </w:tblCellMar>
        </w:tblPrEx>
        <w:trPr>
          <w:jc w:val="center"/>
        </w:trPr>
        <w:tc>
          <w:tcPr>
            <w:tcW w:w="3515" w:type="dxa"/>
            <w:shd w:val="clear" w:color="auto" w:fill="F5F9FC"/>
          </w:tcPr>
          <w:p w14:paraId="2AFC75B5">
            <w:pPr>
              <w:spacing w:before="40" w:after="40" w:line="240" w:lineRule="auto"/>
            </w:pPr>
            <w:r>
              <w:rPr>
                <w:sz w:val="19"/>
              </w:rPr>
              <w:t>Find your local SEE Provider</w:t>
            </w:r>
          </w:p>
        </w:tc>
        <w:tc>
          <w:tcPr>
            <w:tcW w:w="3628" w:type="dxa"/>
          </w:tcPr>
          <w:p w14:paraId="4D2CE03C">
            <w:pPr>
              <w:spacing w:before="40" w:after="40" w:line="240" w:lineRule="auto"/>
            </w:pPr>
            <w:r>
              <w:rPr>
                <w:sz w:val="19"/>
              </w:rPr>
              <w:t>List of SEE providers across Australia.</w:t>
            </w:r>
          </w:p>
        </w:tc>
        <w:tc>
          <w:tcPr>
            <w:tcW w:w="2665" w:type="dxa"/>
          </w:tcPr>
          <w:p w14:paraId="791D04E9">
            <w:pPr>
              <w:spacing w:before="40" w:after="40" w:line="240" w:lineRule="auto"/>
            </w:pPr>
            <w:r>
              <w:fldChar w:fldCharType="begin"/>
            </w:r>
            <w:r>
              <w:instrText xml:space="preserve"> HYPERLINK "https://www.dewr.gov.au/skills-education-and-employment/see-providers" \h </w:instrText>
            </w:r>
            <w:r>
              <w:fldChar w:fldCharType="separate"/>
            </w:r>
            <w:r>
              <w:rPr>
                <w:rFonts w:ascii="Calibri" w:hAnsi="Calibri"/>
                <w:color w:val="0066CC"/>
                <w:sz w:val="19"/>
                <w:u w:val="single"/>
              </w:rPr>
              <w:t>https://www.dewr.gov.au/skills-education-and-employment/see-providers</w:t>
            </w:r>
            <w:r>
              <w:rPr>
                <w:rFonts w:ascii="Calibri" w:hAnsi="Calibri"/>
                <w:color w:val="0066CC"/>
                <w:sz w:val="19"/>
                <w:u w:val="single"/>
              </w:rPr>
              <w:fldChar w:fldCharType="end"/>
            </w:r>
          </w:p>
        </w:tc>
      </w:tr>
    </w:tbl>
    <w:p w14:paraId="4064211E">
      <w:pPr>
        <w:pStyle w:val="4"/>
      </w:pPr>
      <w:r>
        <w:rPr>
          <w:color w:val="006B4F"/>
        </w:rPr>
        <w:t>Other Support Services and Resources</w:t>
      </w:r>
    </w:p>
    <w:tbl>
      <w:tblPr>
        <w:tblStyle w:val="35"/>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0" w:type="dxa"/>
          <w:left w:w="80" w:type="dxa"/>
          <w:bottom w:w="40" w:type="dxa"/>
          <w:right w:w="80" w:type="dxa"/>
        </w:tblCellMar>
      </w:tblPr>
      <w:tblGrid>
        <w:gridCol w:w="3213"/>
        <w:gridCol w:w="3213"/>
        <w:gridCol w:w="3213"/>
      </w:tblGrid>
      <w:tr w14:paraId="5D7FBC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40" w:type="dxa"/>
            <w:left w:w="80" w:type="dxa"/>
            <w:bottom w:w="40" w:type="dxa"/>
            <w:right w:w="80" w:type="dxa"/>
          </w:tblCellMar>
        </w:tblPrEx>
        <w:trPr>
          <w:tblHeader/>
          <w:jc w:val="center"/>
        </w:trPr>
        <w:tc>
          <w:tcPr>
            <w:tcW w:w="3515" w:type="dxa"/>
            <w:shd w:val="clear" w:color="auto" w:fill="002B49"/>
          </w:tcPr>
          <w:p w14:paraId="6E0D375B">
            <w:pPr>
              <w:spacing w:before="40" w:after="40" w:line="240" w:lineRule="auto"/>
            </w:pPr>
            <w:r>
              <w:rPr>
                <w:b/>
                <w:color w:val="FFFFFF"/>
                <w:sz w:val="19"/>
              </w:rPr>
              <w:t>Title</w:t>
            </w:r>
          </w:p>
        </w:tc>
        <w:tc>
          <w:tcPr>
            <w:tcW w:w="3628" w:type="dxa"/>
            <w:shd w:val="clear" w:color="auto" w:fill="002B49"/>
          </w:tcPr>
          <w:p w14:paraId="766110C8">
            <w:pPr>
              <w:spacing w:before="40" w:after="40" w:line="240" w:lineRule="auto"/>
            </w:pPr>
            <w:r>
              <w:rPr>
                <w:b/>
                <w:color w:val="FFFFFF"/>
                <w:sz w:val="19"/>
              </w:rPr>
              <w:t>Description</w:t>
            </w:r>
          </w:p>
        </w:tc>
        <w:tc>
          <w:tcPr>
            <w:tcW w:w="2665" w:type="dxa"/>
            <w:shd w:val="clear" w:color="auto" w:fill="002B49"/>
          </w:tcPr>
          <w:p w14:paraId="6B105600">
            <w:pPr>
              <w:spacing w:before="40" w:after="40" w:line="240" w:lineRule="auto"/>
            </w:pPr>
            <w:r>
              <w:rPr>
                <w:b/>
                <w:color w:val="FFFFFF"/>
                <w:sz w:val="19"/>
              </w:rPr>
              <w:t>URL</w:t>
            </w:r>
          </w:p>
        </w:tc>
      </w:tr>
      <w:tr w14:paraId="6FCA90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40" w:type="dxa"/>
            <w:left w:w="80" w:type="dxa"/>
            <w:bottom w:w="40" w:type="dxa"/>
            <w:right w:w="80" w:type="dxa"/>
          </w:tblCellMar>
        </w:tblPrEx>
        <w:trPr>
          <w:jc w:val="center"/>
        </w:trPr>
        <w:tc>
          <w:tcPr>
            <w:tcW w:w="3515" w:type="dxa"/>
            <w:shd w:val="clear" w:color="auto" w:fill="F5F9FC"/>
          </w:tcPr>
          <w:p w14:paraId="250DDDC7">
            <w:pPr>
              <w:spacing w:before="40" w:after="40" w:line="240" w:lineRule="auto"/>
            </w:pPr>
            <w:r>
              <w:rPr>
                <w:sz w:val="19"/>
              </w:rPr>
              <w:t>Free Translating Service</w:t>
            </w:r>
          </w:p>
        </w:tc>
        <w:tc>
          <w:tcPr>
            <w:tcW w:w="3628" w:type="dxa"/>
          </w:tcPr>
          <w:p w14:paraId="4E5B538B">
            <w:pPr>
              <w:spacing w:before="40" w:after="40" w:line="240" w:lineRule="auto"/>
            </w:pPr>
            <w:r>
              <w:rPr>
                <w:sz w:val="19"/>
              </w:rPr>
              <w:t>Free translation services for people settling permanently in Australia.</w:t>
            </w:r>
          </w:p>
        </w:tc>
        <w:tc>
          <w:tcPr>
            <w:tcW w:w="2665" w:type="dxa"/>
          </w:tcPr>
          <w:p w14:paraId="7AB23A85">
            <w:pPr>
              <w:spacing w:before="40" w:after="40" w:line="240" w:lineRule="auto"/>
            </w:pPr>
            <w:r>
              <w:fldChar w:fldCharType="begin"/>
            </w:r>
            <w:r>
              <w:instrText xml:space="preserve"> HYPERLINK "https://immi.homeaffairs.gov.au/settling-in-australia/settle-in-australia/language-services/free-translating-service" \h </w:instrText>
            </w:r>
            <w:r>
              <w:fldChar w:fldCharType="separate"/>
            </w:r>
            <w:r>
              <w:rPr>
                <w:rFonts w:ascii="Calibri" w:hAnsi="Calibri"/>
                <w:color w:val="0066CC"/>
                <w:sz w:val="19"/>
                <w:u w:val="single"/>
              </w:rPr>
              <w:t>https://immi.homeaffairs.gov.au/settling-in-australia/settle-in-australia/language-services/free-translating-service</w:t>
            </w:r>
            <w:r>
              <w:rPr>
                <w:rFonts w:ascii="Calibri" w:hAnsi="Calibri"/>
                <w:color w:val="0066CC"/>
                <w:sz w:val="19"/>
                <w:u w:val="single"/>
              </w:rPr>
              <w:fldChar w:fldCharType="end"/>
            </w:r>
          </w:p>
        </w:tc>
      </w:tr>
      <w:tr w14:paraId="504466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40" w:type="dxa"/>
            <w:left w:w="80" w:type="dxa"/>
            <w:bottom w:w="40" w:type="dxa"/>
            <w:right w:w="80" w:type="dxa"/>
          </w:tblCellMar>
        </w:tblPrEx>
        <w:trPr>
          <w:jc w:val="center"/>
        </w:trPr>
        <w:tc>
          <w:tcPr>
            <w:tcW w:w="3515" w:type="dxa"/>
            <w:shd w:val="clear" w:color="auto" w:fill="F5F9FC"/>
          </w:tcPr>
          <w:p w14:paraId="4ADF077F">
            <w:pPr>
              <w:spacing w:before="40" w:after="40" w:line="240" w:lineRule="auto"/>
            </w:pPr>
            <w:r>
              <w:rPr>
                <w:sz w:val="19"/>
              </w:rPr>
              <w:t>Translating and Interpreting Service (TIS National)</w:t>
            </w:r>
          </w:p>
        </w:tc>
        <w:tc>
          <w:tcPr>
            <w:tcW w:w="3628" w:type="dxa"/>
          </w:tcPr>
          <w:p w14:paraId="7F73566A">
            <w:pPr>
              <w:spacing w:before="40" w:after="40" w:line="240" w:lineRule="auto"/>
            </w:pPr>
            <w:r>
              <w:rPr>
                <w:sz w:val="19"/>
              </w:rPr>
              <w:t>Delivers multilingual language services on behalf of the Australian Government.</w:t>
            </w:r>
          </w:p>
        </w:tc>
        <w:tc>
          <w:tcPr>
            <w:tcW w:w="2665" w:type="dxa"/>
          </w:tcPr>
          <w:p w14:paraId="1459EC6A">
            <w:pPr>
              <w:spacing w:before="40" w:after="40" w:line="240" w:lineRule="auto"/>
            </w:pPr>
            <w:r>
              <w:fldChar w:fldCharType="begin"/>
            </w:r>
            <w:r>
              <w:instrText xml:space="preserve"> HYPERLINK "https://immi.homeaffairs.gov.au/settling-in-australia/settle-in-australia/language-services/tis-national" \h </w:instrText>
            </w:r>
            <w:r>
              <w:fldChar w:fldCharType="separate"/>
            </w:r>
            <w:r>
              <w:rPr>
                <w:rFonts w:ascii="Calibri" w:hAnsi="Calibri"/>
                <w:color w:val="0066CC"/>
                <w:sz w:val="19"/>
                <w:u w:val="single"/>
              </w:rPr>
              <w:t>https://immi.homeaffairs.gov.au/settling-in-australia/settle-in-australia/language-services/tis-national</w:t>
            </w:r>
            <w:r>
              <w:rPr>
                <w:rFonts w:ascii="Calibri" w:hAnsi="Calibri"/>
                <w:color w:val="0066CC"/>
                <w:sz w:val="19"/>
                <w:u w:val="single"/>
              </w:rPr>
              <w:fldChar w:fldCharType="end"/>
            </w:r>
          </w:p>
        </w:tc>
      </w:tr>
      <w:tr w14:paraId="03C982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40" w:type="dxa"/>
            <w:left w:w="80" w:type="dxa"/>
            <w:bottom w:w="40" w:type="dxa"/>
            <w:right w:w="80" w:type="dxa"/>
          </w:tblCellMar>
        </w:tblPrEx>
        <w:trPr>
          <w:jc w:val="center"/>
        </w:trPr>
        <w:tc>
          <w:tcPr>
            <w:tcW w:w="3515" w:type="dxa"/>
            <w:shd w:val="clear" w:color="auto" w:fill="F5F9FC"/>
          </w:tcPr>
          <w:p w14:paraId="6F6BA8E0">
            <w:pPr>
              <w:spacing w:before="40" w:after="40" w:line="240" w:lineRule="auto"/>
            </w:pPr>
            <w:r>
              <w:rPr>
                <w:sz w:val="19"/>
              </w:rPr>
              <w:t>Economic Pathways to Refugee Integration (EPRI)</w:t>
            </w:r>
          </w:p>
        </w:tc>
        <w:tc>
          <w:tcPr>
            <w:tcW w:w="3628" w:type="dxa"/>
          </w:tcPr>
          <w:p w14:paraId="0EEED07A">
            <w:pPr>
              <w:spacing w:before="40" w:after="40" w:line="240" w:lineRule="auto"/>
            </w:pPr>
            <w:r>
              <w:rPr>
                <w:sz w:val="19"/>
              </w:rPr>
              <w:t>Program information and employment pathways for refugees.</w:t>
            </w:r>
          </w:p>
        </w:tc>
        <w:tc>
          <w:tcPr>
            <w:tcW w:w="2665" w:type="dxa"/>
          </w:tcPr>
          <w:p w14:paraId="1678CA89">
            <w:pPr>
              <w:spacing w:before="40" w:after="40" w:line="240" w:lineRule="auto"/>
            </w:pPr>
            <w:r>
              <w:fldChar w:fldCharType="begin"/>
            </w:r>
            <w:r>
              <w:instrText xml:space="preserve"> HYPERLINK "https://immi.homeaffairs.gov.au/settling-in-australia/settlement-policy-and-reform/employment-pathways-for-refugees" \h </w:instrText>
            </w:r>
            <w:r>
              <w:fldChar w:fldCharType="separate"/>
            </w:r>
            <w:r>
              <w:rPr>
                <w:rFonts w:ascii="Calibri" w:hAnsi="Calibri"/>
                <w:color w:val="0066CC"/>
                <w:sz w:val="19"/>
                <w:u w:val="single"/>
              </w:rPr>
              <w:t>https://immi.homeaffairs.gov.au/settling-in-australia/settlement-policy-and-reform/employment-pathways-for-refugees</w:t>
            </w:r>
            <w:r>
              <w:rPr>
                <w:rFonts w:ascii="Calibri" w:hAnsi="Calibri"/>
                <w:color w:val="0066CC"/>
                <w:sz w:val="19"/>
                <w:u w:val="single"/>
              </w:rPr>
              <w:fldChar w:fldCharType="end"/>
            </w:r>
          </w:p>
        </w:tc>
      </w:tr>
      <w:tr w14:paraId="27BDAF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40" w:type="dxa"/>
            <w:left w:w="80" w:type="dxa"/>
            <w:bottom w:w="40" w:type="dxa"/>
            <w:right w:w="80" w:type="dxa"/>
          </w:tblCellMar>
        </w:tblPrEx>
        <w:trPr>
          <w:jc w:val="center"/>
        </w:trPr>
        <w:tc>
          <w:tcPr>
            <w:tcW w:w="3515" w:type="dxa"/>
            <w:shd w:val="clear" w:color="auto" w:fill="F5F9FC"/>
          </w:tcPr>
          <w:p w14:paraId="52BF3BA6">
            <w:pPr>
              <w:spacing w:before="40" w:after="40" w:line="240" w:lineRule="auto"/>
            </w:pPr>
            <w:r>
              <w:rPr>
                <w:sz w:val="19"/>
              </w:rPr>
              <w:t>Youth Transition Support Services (YTS)</w:t>
            </w:r>
          </w:p>
        </w:tc>
        <w:tc>
          <w:tcPr>
            <w:tcW w:w="3628" w:type="dxa"/>
          </w:tcPr>
          <w:p w14:paraId="74318EEC">
            <w:pPr>
              <w:spacing w:before="40" w:after="40" w:line="240" w:lineRule="auto"/>
            </w:pPr>
            <w:r>
              <w:rPr>
                <w:sz w:val="19"/>
              </w:rPr>
              <w:t>YTS overview for young humanitarian entrants and eligible migrants aged 15–25.</w:t>
            </w:r>
          </w:p>
        </w:tc>
        <w:tc>
          <w:tcPr>
            <w:tcW w:w="2665" w:type="dxa"/>
          </w:tcPr>
          <w:p w14:paraId="3499422B">
            <w:pPr>
              <w:spacing w:before="40" w:after="40" w:line="240" w:lineRule="auto"/>
            </w:pPr>
            <w:r>
              <w:fldChar w:fldCharType="begin"/>
            </w:r>
            <w:r>
              <w:instrText xml:space="preserve"> HYPERLINK "https://immi.homeaffairs.gov.au/settling-in-australia/youth-transition-support-services/overview" \h </w:instrText>
            </w:r>
            <w:r>
              <w:fldChar w:fldCharType="separate"/>
            </w:r>
            <w:r>
              <w:rPr>
                <w:rFonts w:ascii="Calibri" w:hAnsi="Calibri"/>
                <w:color w:val="0066CC"/>
                <w:sz w:val="19"/>
                <w:u w:val="single"/>
              </w:rPr>
              <w:t>https://immi.homeaffairs.gov.au/settling-in-australia/youth-transition-support-services/overview</w:t>
            </w:r>
            <w:r>
              <w:rPr>
                <w:rFonts w:ascii="Calibri" w:hAnsi="Calibri"/>
                <w:color w:val="0066CC"/>
                <w:sz w:val="19"/>
                <w:u w:val="single"/>
              </w:rPr>
              <w:fldChar w:fldCharType="end"/>
            </w:r>
          </w:p>
        </w:tc>
      </w:tr>
      <w:tr w14:paraId="39509C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40" w:type="dxa"/>
            <w:left w:w="80" w:type="dxa"/>
            <w:bottom w:w="40" w:type="dxa"/>
            <w:right w:w="80" w:type="dxa"/>
          </w:tblCellMar>
        </w:tblPrEx>
        <w:trPr>
          <w:jc w:val="center"/>
        </w:trPr>
        <w:tc>
          <w:tcPr>
            <w:tcW w:w="3515" w:type="dxa"/>
            <w:shd w:val="clear" w:color="auto" w:fill="F5F9FC"/>
          </w:tcPr>
          <w:p w14:paraId="158AB823">
            <w:pPr>
              <w:spacing w:before="40" w:after="40" w:line="240" w:lineRule="auto"/>
            </w:pPr>
            <w:r>
              <w:rPr>
                <w:sz w:val="19"/>
              </w:rPr>
              <w:t>Brisbane South East Local Jobs Plan (July 2025)</w:t>
            </w:r>
          </w:p>
        </w:tc>
        <w:tc>
          <w:tcPr>
            <w:tcW w:w="3628" w:type="dxa"/>
          </w:tcPr>
          <w:p w14:paraId="0EE5D536">
            <w:pPr>
              <w:spacing w:before="40" w:after="40" w:line="240" w:lineRule="auto"/>
            </w:pPr>
            <w:r>
              <w:rPr>
                <w:sz w:val="19"/>
              </w:rPr>
              <w:t>Regional labour market challenges, priorities and strategies.</w:t>
            </w:r>
          </w:p>
        </w:tc>
        <w:tc>
          <w:tcPr>
            <w:tcW w:w="2665" w:type="dxa"/>
          </w:tcPr>
          <w:p w14:paraId="52BEFFE3">
            <w:pPr>
              <w:spacing w:before="40" w:after="40" w:line="240" w:lineRule="auto"/>
            </w:pPr>
            <w:r>
              <w:fldChar w:fldCharType="begin"/>
            </w:r>
            <w:r>
              <w:instrText xml:space="preserve"> HYPERLINK "https://www.dewr.gov.au/local-jobs" \h </w:instrText>
            </w:r>
            <w:r>
              <w:fldChar w:fldCharType="separate"/>
            </w:r>
            <w:r>
              <w:rPr>
                <w:rFonts w:ascii="Calibri" w:hAnsi="Calibri"/>
                <w:color w:val="0066CC"/>
                <w:sz w:val="19"/>
                <w:u w:val="single"/>
              </w:rPr>
              <w:t>https://www.dewr.gov.au/local-jobs</w:t>
            </w:r>
            <w:r>
              <w:rPr>
                <w:rFonts w:ascii="Calibri" w:hAnsi="Calibri"/>
                <w:color w:val="0066CC"/>
                <w:sz w:val="19"/>
                <w:u w:val="single"/>
              </w:rPr>
              <w:fldChar w:fldCharType="end"/>
            </w:r>
          </w:p>
        </w:tc>
      </w:tr>
      <w:tr w14:paraId="7926EB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40" w:type="dxa"/>
            <w:left w:w="80" w:type="dxa"/>
            <w:bottom w:w="40" w:type="dxa"/>
            <w:right w:w="80" w:type="dxa"/>
          </w:tblCellMar>
        </w:tblPrEx>
        <w:trPr>
          <w:jc w:val="center"/>
        </w:trPr>
        <w:tc>
          <w:tcPr>
            <w:tcW w:w="3515" w:type="dxa"/>
            <w:shd w:val="clear" w:color="auto" w:fill="F5F9FC"/>
          </w:tcPr>
          <w:p w14:paraId="78640066">
            <w:pPr>
              <w:spacing w:before="40" w:after="40" w:line="240" w:lineRule="auto"/>
            </w:pPr>
            <w:r>
              <w:rPr>
                <w:sz w:val="19"/>
              </w:rPr>
              <w:t>Queensland Government — Overseas Qualification Unit</w:t>
            </w:r>
          </w:p>
        </w:tc>
        <w:tc>
          <w:tcPr>
            <w:tcW w:w="3628" w:type="dxa"/>
          </w:tcPr>
          <w:p w14:paraId="0B800E08">
            <w:pPr>
              <w:spacing w:before="40" w:after="40" w:line="240" w:lineRule="auto"/>
            </w:pPr>
            <w:r>
              <w:rPr>
                <w:sz w:val="19"/>
              </w:rPr>
              <w:t>Overseas qualification assessment in Queensland.</w:t>
            </w:r>
          </w:p>
        </w:tc>
        <w:tc>
          <w:tcPr>
            <w:tcW w:w="2665" w:type="dxa"/>
          </w:tcPr>
          <w:p w14:paraId="745BD778">
            <w:pPr>
              <w:spacing w:before="40" w:after="40" w:line="240" w:lineRule="auto"/>
            </w:pPr>
            <w:r>
              <w:fldChar w:fldCharType="begin"/>
            </w:r>
            <w:r>
              <w:instrText xml:space="preserve"> HYPERLINK "https://www.qld.gov.au" \h </w:instrText>
            </w:r>
            <w:r>
              <w:fldChar w:fldCharType="separate"/>
            </w:r>
            <w:r>
              <w:rPr>
                <w:rFonts w:ascii="Calibri" w:hAnsi="Calibri"/>
                <w:color w:val="0066CC"/>
                <w:sz w:val="19"/>
                <w:u w:val="single"/>
              </w:rPr>
              <w:t>https://www.qld.gov.au</w:t>
            </w:r>
            <w:r>
              <w:rPr>
                <w:rFonts w:ascii="Calibri" w:hAnsi="Calibri"/>
                <w:color w:val="0066CC"/>
                <w:sz w:val="19"/>
                <w:u w:val="single"/>
              </w:rPr>
              <w:fldChar w:fldCharType="end"/>
            </w:r>
          </w:p>
        </w:tc>
      </w:tr>
      <w:tr w14:paraId="769332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40" w:type="dxa"/>
            <w:left w:w="80" w:type="dxa"/>
            <w:bottom w:w="40" w:type="dxa"/>
            <w:right w:w="80" w:type="dxa"/>
          </w:tblCellMar>
        </w:tblPrEx>
        <w:trPr>
          <w:jc w:val="center"/>
        </w:trPr>
        <w:tc>
          <w:tcPr>
            <w:tcW w:w="3515" w:type="dxa"/>
            <w:shd w:val="clear" w:color="auto" w:fill="F5F9FC"/>
          </w:tcPr>
          <w:p w14:paraId="029A4463">
            <w:pPr>
              <w:spacing w:before="40" w:after="40" w:line="240" w:lineRule="auto"/>
            </w:pPr>
            <w:r>
              <w:rPr>
                <w:sz w:val="19"/>
              </w:rPr>
              <w:t>Skilling Queenslanders for Work (DESBT)</w:t>
            </w:r>
          </w:p>
        </w:tc>
        <w:tc>
          <w:tcPr>
            <w:tcW w:w="3628" w:type="dxa"/>
          </w:tcPr>
          <w:p w14:paraId="4F54ADDD">
            <w:pPr>
              <w:spacing w:before="40" w:after="40" w:line="240" w:lineRule="auto"/>
            </w:pPr>
            <w:r>
              <w:rPr>
                <w:sz w:val="19"/>
              </w:rPr>
              <w:t>Queensland Government skills and work placement program.</w:t>
            </w:r>
          </w:p>
        </w:tc>
        <w:tc>
          <w:tcPr>
            <w:tcW w:w="2665" w:type="dxa"/>
          </w:tcPr>
          <w:p w14:paraId="2F19F804">
            <w:pPr>
              <w:spacing w:before="40" w:after="40" w:line="240" w:lineRule="auto"/>
            </w:pPr>
            <w:r>
              <w:fldChar w:fldCharType="begin"/>
            </w:r>
            <w:r>
              <w:instrText xml:space="preserve"> HYPERLINK "https://desbt.qld.gov.au/training/skilling-qlders-work" \h </w:instrText>
            </w:r>
            <w:r>
              <w:fldChar w:fldCharType="separate"/>
            </w:r>
            <w:r>
              <w:rPr>
                <w:rFonts w:ascii="Calibri" w:hAnsi="Calibri"/>
                <w:color w:val="0066CC"/>
                <w:sz w:val="19"/>
                <w:u w:val="single"/>
              </w:rPr>
              <w:t>https://desbt.qld.gov.au/training/skilling-qlders-work</w:t>
            </w:r>
            <w:r>
              <w:rPr>
                <w:rFonts w:ascii="Calibri" w:hAnsi="Calibri"/>
                <w:color w:val="0066CC"/>
                <w:sz w:val="19"/>
                <w:u w:val="single"/>
              </w:rPr>
              <w:fldChar w:fldCharType="end"/>
            </w:r>
          </w:p>
        </w:tc>
      </w:tr>
      <w:tr w14:paraId="4BFF25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40" w:type="dxa"/>
            <w:left w:w="80" w:type="dxa"/>
            <w:bottom w:w="40" w:type="dxa"/>
            <w:right w:w="80" w:type="dxa"/>
          </w:tblCellMar>
        </w:tblPrEx>
        <w:trPr>
          <w:jc w:val="center"/>
        </w:trPr>
        <w:tc>
          <w:tcPr>
            <w:tcW w:w="3515" w:type="dxa"/>
            <w:shd w:val="clear" w:color="auto" w:fill="F5F9FC"/>
          </w:tcPr>
          <w:p w14:paraId="47DF2C97">
            <w:pPr>
              <w:spacing w:before="40" w:after="40" w:line="240" w:lineRule="auto"/>
            </w:pPr>
            <w:r>
              <w:rPr>
                <w:sz w:val="19"/>
              </w:rPr>
              <w:t>Diverse Queensland Workforce</w:t>
            </w:r>
          </w:p>
        </w:tc>
        <w:tc>
          <w:tcPr>
            <w:tcW w:w="3628" w:type="dxa"/>
          </w:tcPr>
          <w:p w14:paraId="7F3AF7F5">
            <w:pPr>
              <w:spacing w:before="40" w:after="40" w:line="240" w:lineRule="auto"/>
            </w:pPr>
            <w:r>
              <w:rPr>
                <w:sz w:val="19"/>
              </w:rPr>
              <w:t>Queensland Government employment program for migrants, refugees and international students.</w:t>
            </w:r>
          </w:p>
        </w:tc>
        <w:tc>
          <w:tcPr>
            <w:tcW w:w="2665" w:type="dxa"/>
          </w:tcPr>
          <w:p w14:paraId="0916AAFE">
            <w:pPr>
              <w:spacing w:before="40" w:after="40" w:line="240" w:lineRule="auto"/>
            </w:pPr>
            <w:r>
              <w:fldChar w:fldCharType="begin"/>
            </w:r>
            <w:r>
              <w:instrText xml:space="preserve"> HYPERLINK "https://www.qld.gov.au/jobs" \h </w:instrText>
            </w:r>
            <w:r>
              <w:fldChar w:fldCharType="separate"/>
            </w:r>
            <w:r>
              <w:rPr>
                <w:rFonts w:ascii="Calibri" w:hAnsi="Calibri"/>
                <w:color w:val="0066CC"/>
                <w:sz w:val="19"/>
                <w:u w:val="single"/>
              </w:rPr>
              <w:t>https://www.qld.gov.au/jobs</w:t>
            </w:r>
            <w:r>
              <w:rPr>
                <w:rFonts w:ascii="Calibri" w:hAnsi="Calibri"/>
                <w:color w:val="0066CC"/>
                <w:sz w:val="19"/>
                <w:u w:val="single"/>
              </w:rPr>
              <w:fldChar w:fldCharType="end"/>
            </w:r>
          </w:p>
        </w:tc>
      </w:tr>
      <w:tr w14:paraId="093781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40" w:type="dxa"/>
            <w:left w:w="80" w:type="dxa"/>
            <w:bottom w:w="40" w:type="dxa"/>
            <w:right w:w="80" w:type="dxa"/>
          </w:tblCellMar>
        </w:tblPrEx>
        <w:trPr>
          <w:jc w:val="center"/>
        </w:trPr>
        <w:tc>
          <w:tcPr>
            <w:tcW w:w="3515" w:type="dxa"/>
            <w:shd w:val="clear" w:color="auto" w:fill="F5F9FC"/>
          </w:tcPr>
          <w:p w14:paraId="5852217D">
            <w:pPr>
              <w:spacing w:before="40" w:after="40" w:line="240" w:lineRule="auto"/>
            </w:pPr>
            <w:r>
              <w:rPr>
                <w:sz w:val="19"/>
              </w:rPr>
              <w:t>Community Action for a Multicultural Society (CAMS)</w:t>
            </w:r>
          </w:p>
        </w:tc>
        <w:tc>
          <w:tcPr>
            <w:tcW w:w="3628" w:type="dxa"/>
          </w:tcPr>
          <w:p w14:paraId="422EFECA">
            <w:pPr>
              <w:spacing w:before="40" w:after="40" w:line="240" w:lineRule="auto"/>
            </w:pPr>
            <w:r>
              <w:rPr>
                <w:sz w:val="19"/>
              </w:rPr>
              <w:t>Queensland Government community inclusion program.</w:t>
            </w:r>
          </w:p>
        </w:tc>
        <w:tc>
          <w:tcPr>
            <w:tcW w:w="2665" w:type="dxa"/>
          </w:tcPr>
          <w:p w14:paraId="3CAB679D">
            <w:pPr>
              <w:spacing w:before="40" w:after="40" w:line="240" w:lineRule="auto"/>
            </w:pPr>
            <w:r>
              <w:fldChar w:fldCharType="begin"/>
            </w:r>
            <w:r>
              <w:instrText xml:space="preserve"> HYPERLINK "https://www.qld.gov.au/community" \h </w:instrText>
            </w:r>
            <w:r>
              <w:fldChar w:fldCharType="separate"/>
            </w:r>
            <w:r>
              <w:rPr>
                <w:rFonts w:ascii="Calibri" w:hAnsi="Calibri"/>
                <w:color w:val="0066CC"/>
                <w:sz w:val="19"/>
                <w:u w:val="single"/>
              </w:rPr>
              <w:t>https://www.qld.gov.au/community</w:t>
            </w:r>
            <w:r>
              <w:rPr>
                <w:rFonts w:ascii="Calibri" w:hAnsi="Calibri"/>
                <w:color w:val="0066CC"/>
                <w:sz w:val="19"/>
                <w:u w:val="single"/>
              </w:rPr>
              <w:fldChar w:fldCharType="end"/>
            </w:r>
          </w:p>
        </w:tc>
      </w:tr>
      <w:tr w14:paraId="4055CD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40" w:type="dxa"/>
            <w:left w:w="80" w:type="dxa"/>
            <w:bottom w:w="40" w:type="dxa"/>
            <w:right w:w="80" w:type="dxa"/>
          </w:tblCellMar>
        </w:tblPrEx>
        <w:trPr>
          <w:jc w:val="center"/>
        </w:trPr>
        <w:tc>
          <w:tcPr>
            <w:tcW w:w="3515" w:type="dxa"/>
            <w:shd w:val="clear" w:color="auto" w:fill="F5F9FC"/>
          </w:tcPr>
          <w:p w14:paraId="5CA81453">
            <w:pPr>
              <w:spacing w:before="40" w:after="40" w:line="240" w:lineRule="auto"/>
            </w:pPr>
            <w:r>
              <w:rPr>
                <w:sz w:val="19"/>
              </w:rPr>
              <w:t>National Community Hubs Program</w:t>
            </w:r>
          </w:p>
        </w:tc>
        <w:tc>
          <w:tcPr>
            <w:tcW w:w="3628" w:type="dxa"/>
          </w:tcPr>
          <w:p w14:paraId="3CE08012">
            <w:pPr>
              <w:spacing w:before="40" w:after="40" w:line="240" w:lineRule="auto"/>
            </w:pPr>
            <w:r>
              <w:rPr>
                <w:sz w:val="19"/>
              </w:rPr>
              <w:t>School-based hubs connecting families with schools and services.</w:t>
            </w:r>
          </w:p>
        </w:tc>
        <w:tc>
          <w:tcPr>
            <w:tcW w:w="2665" w:type="dxa"/>
          </w:tcPr>
          <w:p w14:paraId="5C5838F1">
            <w:pPr>
              <w:spacing w:before="40" w:after="40" w:line="240" w:lineRule="auto"/>
            </w:pPr>
            <w:r>
              <w:fldChar w:fldCharType="begin"/>
            </w:r>
            <w:r>
              <w:instrText xml:space="preserve"> HYPERLINK "https://immi.homeaffairs.gov.au/settling-in-australia/settle-in-australia/community-hubs" \h </w:instrText>
            </w:r>
            <w:r>
              <w:fldChar w:fldCharType="separate"/>
            </w:r>
            <w:r>
              <w:rPr>
                <w:rFonts w:ascii="Calibri" w:hAnsi="Calibri"/>
                <w:color w:val="0066CC"/>
                <w:sz w:val="19"/>
                <w:u w:val="single"/>
              </w:rPr>
              <w:t>https://immi.homeaffairs.gov.au/settling-in-australia/settle-in-australia/community-hubs</w:t>
            </w:r>
            <w:r>
              <w:rPr>
                <w:rFonts w:ascii="Calibri" w:hAnsi="Calibri"/>
                <w:color w:val="0066CC"/>
                <w:sz w:val="19"/>
                <w:u w:val="single"/>
              </w:rPr>
              <w:fldChar w:fldCharType="end"/>
            </w:r>
          </w:p>
        </w:tc>
      </w:tr>
    </w:tbl>
    <w:p w14:paraId="5496757C">
      <w:pPr>
        <w:pStyle w:val="3"/>
      </w:pPr>
      <w:r>
        <w:rPr>
          <w:color w:val="0066CC"/>
        </w:rPr>
        <w:t>14.2 Migration Advice and Legal Services in the Region</w:t>
      </w:r>
    </w:p>
    <w:p w14:paraId="78E5804E">
      <w:pPr>
        <w:spacing w:before="0" w:after="120"/>
      </w:pPr>
      <w:r>
        <w:rPr>
          <w:b w:val="0"/>
          <w:i w:val="0"/>
          <w:sz w:val="21"/>
        </w:rPr>
        <w:t>Free immigration legal assistance for refugees and vulnerable migrants is available through the Refugee and Immigration Legal Service (RAILS). A range of private migration lawyers and registered migration agents also operate in Brisbane and service Brisbane South East clients; these are private fee-for-service providers and are not government services.</w:t>
      </w:r>
    </w:p>
    <w:tbl>
      <w:tblPr>
        <w:tblStyle w:val="35"/>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0" w:type="dxa"/>
          <w:left w:w="80" w:type="dxa"/>
          <w:bottom w:w="40" w:type="dxa"/>
          <w:right w:w="80" w:type="dxa"/>
        </w:tblCellMar>
      </w:tblPr>
      <w:tblGrid>
        <w:gridCol w:w="2409"/>
        <w:gridCol w:w="2409"/>
        <w:gridCol w:w="2409"/>
        <w:gridCol w:w="2409"/>
      </w:tblGrid>
      <w:tr w14:paraId="375182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40" w:type="dxa"/>
            <w:left w:w="80" w:type="dxa"/>
            <w:bottom w:w="40" w:type="dxa"/>
            <w:right w:w="80" w:type="dxa"/>
          </w:tblCellMar>
        </w:tblPrEx>
        <w:trPr>
          <w:tblHeader/>
          <w:jc w:val="center"/>
        </w:trPr>
        <w:tc>
          <w:tcPr>
            <w:tcW w:w="2608" w:type="dxa"/>
            <w:shd w:val="clear" w:color="auto" w:fill="002B49"/>
          </w:tcPr>
          <w:p w14:paraId="62A0C797">
            <w:pPr>
              <w:spacing w:before="40" w:after="40" w:line="240" w:lineRule="auto"/>
            </w:pPr>
            <w:r>
              <w:rPr>
                <w:b/>
                <w:color w:val="FFFFFF"/>
                <w:sz w:val="19"/>
              </w:rPr>
              <w:t>Service</w:t>
            </w:r>
          </w:p>
        </w:tc>
        <w:tc>
          <w:tcPr>
            <w:tcW w:w="2608" w:type="dxa"/>
            <w:shd w:val="clear" w:color="auto" w:fill="002B49"/>
          </w:tcPr>
          <w:p w14:paraId="75F23533">
            <w:pPr>
              <w:spacing w:before="40" w:after="40" w:line="240" w:lineRule="auto"/>
            </w:pPr>
            <w:r>
              <w:rPr>
                <w:b/>
                <w:color w:val="FFFFFF"/>
                <w:sz w:val="19"/>
              </w:rPr>
              <w:t>Type</w:t>
            </w:r>
          </w:p>
        </w:tc>
        <w:tc>
          <w:tcPr>
            <w:tcW w:w="2948" w:type="dxa"/>
            <w:shd w:val="clear" w:color="auto" w:fill="002B49"/>
          </w:tcPr>
          <w:p w14:paraId="78642860">
            <w:pPr>
              <w:spacing w:before="40" w:after="40" w:line="240" w:lineRule="auto"/>
            </w:pPr>
            <w:r>
              <w:rPr>
                <w:b/>
                <w:color w:val="FFFFFF"/>
                <w:sz w:val="19"/>
              </w:rPr>
              <w:t>Contact</w:t>
            </w:r>
          </w:p>
        </w:tc>
        <w:tc>
          <w:tcPr>
            <w:tcW w:w="1644" w:type="dxa"/>
            <w:shd w:val="clear" w:color="auto" w:fill="002B49"/>
          </w:tcPr>
          <w:p w14:paraId="51DC9209">
            <w:pPr>
              <w:spacing w:before="40" w:after="40" w:line="240" w:lineRule="auto"/>
            </w:pPr>
            <w:r>
              <w:rPr>
                <w:b/>
                <w:color w:val="FFFFFF"/>
                <w:sz w:val="19"/>
              </w:rPr>
              <w:t>Status</w:t>
            </w:r>
          </w:p>
        </w:tc>
      </w:tr>
      <w:tr w14:paraId="105EC9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40" w:type="dxa"/>
            <w:left w:w="80" w:type="dxa"/>
            <w:bottom w:w="40" w:type="dxa"/>
            <w:right w:w="80" w:type="dxa"/>
          </w:tblCellMar>
        </w:tblPrEx>
        <w:trPr>
          <w:jc w:val="center"/>
        </w:trPr>
        <w:tc>
          <w:tcPr>
            <w:tcW w:w="2608" w:type="dxa"/>
            <w:shd w:val="clear" w:color="auto" w:fill="F5F9FC"/>
          </w:tcPr>
          <w:p w14:paraId="4DEEED12">
            <w:pPr>
              <w:spacing w:before="40" w:after="40" w:line="240" w:lineRule="auto"/>
            </w:pPr>
            <w:r>
              <w:rPr>
                <w:sz w:val="19"/>
              </w:rPr>
              <w:t>Refugee and Immigration Legal Service (RAILS)</w:t>
            </w:r>
          </w:p>
        </w:tc>
        <w:tc>
          <w:tcPr>
            <w:tcW w:w="2608" w:type="dxa"/>
          </w:tcPr>
          <w:p w14:paraId="4DCEF5E2">
            <w:pPr>
              <w:spacing w:before="40" w:after="40" w:line="240" w:lineRule="auto"/>
            </w:pPr>
            <w:r>
              <w:rPr>
                <w:sz w:val="19"/>
              </w:rPr>
              <w:t>Free community legal service — immigration/refugee legal assistance, family reunion (SETS-linked)</w:t>
            </w:r>
          </w:p>
        </w:tc>
        <w:tc>
          <w:tcPr>
            <w:tcW w:w="2948" w:type="dxa"/>
          </w:tcPr>
          <w:p w14:paraId="76AFCA7F">
            <w:pPr>
              <w:spacing w:before="40" w:after="40" w:line="240" w:lineRule="auto"/>
            </w:pPr>
            <w:r>
              <w:rPr>
                <w:sz w:val="19"/>
              </w:rPr>
              <w:t>Level 3, 43 Peel Street, South Brisbane QLD 4101; 07 3846 9300; admin@rails.org.au; rails.org.au</w:t>
            </w:r>
          </w:p>
        </w:tc>
        <w:tc>
          <w:tcPr>
            <w:tcW w:w="1644" w:type="dxa"/>
          </w:tcPr>
          <w:p w14:paraId="1D4B0C5B">
            <w:pPr>
              <w:spacing w:before="40" w:after="40" w:line="240" w:lineRule="auto"/>
            </w:pPr>
            <w:r>
              <w:rPr>
                <w:sz w:val="19"/>
                <w:lang w:val="en-US"/>
              </w:rPr>
              <w:t>REQUIRES VERIFICATION</w:t>
            </w:r>
            <w:r>
              <w:rPr>
                <w:sz w:val="19"/>
              </w:rPr>
              <w:t xml:space="preserve"> — free legal service</w:t>
            </w:r>
          </w:p>
        </w:tc>
      </w:tr>
      <w:tr w14:paraId="2565EB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40" w:type="dxa"/>
            <w:left w:w="80" w:type="dxa"/>
            <w:bottom w:w="40" w:type="dxa"/>
            <w:right w:w="80" w:type="dxa"/>
          </w:tblCellMar>
        </w:tblPrEx>
        <w:trPr>
          <w:jc w:val="center"/>
        </w:trPr>
        <w:tc>
          <w:tcPr>
            <w:tcW w:w="2608" w:type="dxa"/>
            <w:shd w:val="clear" w:color="auto" w:fill="F5F9FC"/>
          </w:tcPr>
          <w:p w14:paraId="2EA49896">
            <w:pPr>
              <w:spacing w:before="40" w:after="40" w:line="240" w:lineRule="auto"/>
            </w:pPr>
            <w:r>
              <w:rPr>
                <w:sz w:val="19"/>
              </w:rPr>
              <w:t>Daffodil Co. Migration Lawyers</w:t>
            </w:r>
          </w:p>
        </w:tc>
        <w:tc>
          <w:tcPr>
            <w:tcW w:w="2608" w:type="dxa"/>
          </w:tcPr>
          <w:p w14:paraId="6240EE55">
            <w:pPr>
              <w:spacing w:before="40" w:after="40" w:line="240" w:lineRule="auto"/>
            </w:pPr>
            <w:r>
              <w:rPr>
                <w:sz w:val="19"/>
              </w:rPr>
              <w:t>Private migration legal service</w:t>
            </w:r>
          </w:p>
        </w:tc>
        <w:tc>
          <w:tcPr>
            <w:tcW w:w="2948" w:type="dxa"/>
          </w:tcPr>
          <w:p w14:paraId="1AB7B6E0">
            <w:pPr>
              <w:spacing w:before="40" w:after="40" w:line="240" w:lineRule="auto"/>
            </w:pPr>
            <w:r>
              <w:rPr>
                <w:sz w:val="19"/>
              </w:rPr>
              <w:t>Brisbane Technology Park, Suite 3, 3 Clunies Ross Court, Eight Mile Plains QLD 4113; 07 3568 0958; admin@daffodil.law</w:t>
            </w:r>
          </w:p>
        </w:tc>
        <w:tc>
          <w:tcPr>
            <w:tcW w:w="1644" w:type="dxa"/>
          </w:tcPr>
          <w:p w14:paraId="0517F7E4">
            <w:pPr>
              <w:spacing w:before="40" w:after="40" w:line="240" w:lineRule="auto"/>
            </w:pPr>
            <w:r>
              <w:rPr>
                <w:sz w:val="19"/>
              </w:rPr>
              <w:t>Private fee-for-service — REQUIRES VERIFICATION</w:t>
            </w:r>
          </w:p>
        </w:tc>
      </w:tr>
      <w:tr w14:paraId="20A5D3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40" w:type="dxa"/>
            <w:left w:w="80" w:type="dxa"/>
            <w:bottom w:w="40" w:type="dxa"/>
            <w:right w:w="80" w:type="dxa"/>
          </w:tblCellMar>
        </w:tblPrEx>
        <w:trPr>
          <w:jc w:val="center"/>
        </w:trPr>
        <w:tc>
          <w:tcPr>
            <w:tcW w:w="2608" w:type="dxa"/>
            <w:shd w:val="clear" w:color="auto" w:fill="F5F9FC"/>
          </w:tcPr>
          <w:p w14:paraId="4F43CAD3">
            <w:pPr>
              <w:spacing w:before="40" w:after="40" w:line="240" w:lineRule="auto"/>
            </w:pPr>
            <w:r>
              <w:rPr>
                <w:sz w:val="19"/>
              </w:rPr>
              <w:t>Auslaw Partners Brisbane</w:t>
            </w:r>
          </w:p>
        </w:tc>
        <w:tc>
          <w:tcPr>
            <w:tcW w:w="2608" w:type="dxa"/>
          </w:tcPr>
          <w:p w14:paraId="2F3C102F">
            <w:pPr>
              <w:spacing w:before="40" w:after="40" w:line="240" w:lineRule="auto"/>
            </w:pPr>
            <w:r>
              <w:rPr>
                <w:sz w:val="19"/>
              </w:rPr>
              <w:t>Private immigration law / legal services</w:t>
            </w:r>
          </w:p>
        </w:tc>
        <w:tc>
          <w:tcPr>
            <w:tcW w:w="2948" w:type="dxa"/>
          </w:tcPr>
          <w:p w14:paraId="034FFFC3">
            <w:pPr>
              <w:spacing w:before="40" w:after="40" w:line="240" w:lineRule="auto"/>
            </w:pPr>
            <w:r>
              <w:rPr>
                <w:sz w:val="19"/>
              </w:rPr>
              <w:t>The Precinct, 14 Browning Street, South Brisbane QLD 4101; 1300 0123 00; Brisbane@auslaw.com.au</w:t>
            </w:r>
          </w:p>
        </w:tc>
        <w:tc>
          <w:tcPr>
            <w:tcW w:w="1644" w:type="dxa"/>
          </w:tcPr>
          <w:p w14:paraId="5BB881EA">
            <w:pPr>
              <w:spacing w:before="40" w:after="40" w:line="240" w:lineRule="auto"/>
            </w:pPr>
            <w:r>
              <w:rPr>
                <w:sz w:val="19"/>
              </w:rPr>
              <w:t>Private fee-for-service — REQUIRES VERIFICATION</w:t>
            </w:r>
          </w:p>
        </w:tc>
      </w:tr>
      <w:tr w14:paraId="1CA383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40" w:type="dxa"/>
            <w:left w:w="80" w:type="dxa"/>
            <w:bottom w:w="40" w:type="dxa"/>
            <w:right w:w="80" w:type="dxa"/>
          </w:tblCellMar>
        </w:tblPrEx>
        <w:trPr>
          <w:jc w:val="center"/>
        </w:trPr>
        <w:tc>
          <w:tcPr>
            <w:tcW w:w="2608" w:type="dxa"/>
            <w:shd w:val="clear" w:color="auto" w:fill="F5F9FC"/>
          </w:tcPr>
          <w:p w14:paraId="05D4F49C">
            <w:pPr>
              <w:spacing w:before="40" w:after="40" w:line="240" w:lineRule="auto"/>
            </w:pPr>
            <w:r>
              <w:rPr>
                <w:sz w:val="19"/>
              </w:rPr>
              <w:t>Patel Migration Lawyers</w:t>
            </w:r>
          </w:p>
        </w:tc>
        <w:tc>
          <w:tcPr>
            <w:tcW w:w="2608" w:type="dxa"/>
          </w:tcPr>
          <w:p w14:paraId="389E7EFA">
            <w:pPr>
              <w:spacing w:before="40" w:after="40" w:line="240" w:lineRule="auto"/>
            </w:pPr>
            <w:r>
              <w:rPr>
                <w:sz w:val="19"/>
              </w:rPr>
              <w:t>Private migration law practice</w:t>
            </w:r>
          </w:p>
        </w:tc>
        <w:tc>
          <w:tcPr>
            <w:tcW w:w="2948" w:type="dxa"/>
          </w:tcPr>
          <w:p w14:paraId="314C8ED4">
            <w:pPr>
              <w:spacing w:before="40" w:after="40" w:line="240" w:lineRule="auto"/>
            </w:pPr>
            <w:r>
              <w:rPr>
                <w:sz w:val="19"/>
              </w:rPr>
              <w:t>Level 1, 16 McDougall Street, Milton QLD 4064; 0424 997 752; priya@patelmigration.com.au</w:t>
            </w:r>
          </w:p>
        </w:tc>
        <w:tc>
          <w:tcPr>
            <w:tcW w:w="1644" w:type="dxa"/>
          </w:tcPr>
          <w:p w14:paraId="3A8F6F8C">
            <w:pPr>
              <w:spacing w:before="40" w:after="40" w:line="240" w:lineRule="auto"/>
            </w:pPr>
            <w:r>
              <w:rPr>
                <w:sz w:val="19"/>
              </w:rPr>
              <w:t>Private fee-for-service — REQUIRES VERIFICATION</w:t>
            </w:r>
          </w:p>
        </w:tc>
      </w:tr>
      <w:tr w14:paraId="01DA2F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40" w:type="dxa"/>
            <w:left w:w="80" w:type="dxa"/>
            <w:bottom w:w="40" w:type="dxa"/>
            <w:right w:w="80" w:type="dxa"/>
          </w:tblCellMar>
        </w:tblPrEx>
        <w:trPr>
          <w:jc w:val="center"/>
        </w:trPr>
        <w:tc>
          <w:tcPr>
            <w:tcW w:w="2608" w:type="dxa"/>
            <w:shd w:val="clear" w:color="auto" w:fill="F5F9FC"/>
          </w:tcPr>
          <w:p w14:paraId="51EB48D2">
            <w:pPr>
              <w:spacing w:before="40" w:after="40" w:line="240" w:lineRule="auto"/>
            </w:pPr>
            <w:r>
              <w:rPr>
                <w:sz w:val="19"/>
              </w:rPr>
              <w:t>Kindra Migration Lawyers</w:t>
            </w:r>
          </w:p>
        </w:tc>
        <w:tc>
          <w:tcPr>
            <w:tcW w:w="2608" w:type="dxa"/>
          </w:tcPr>
          <w:p w14:paraId="0D71E5B2">
            <w:pPr>
              <w:spacing w:before="40" w:after="40" w:line="240" w:lineRule="auto"/>
            </w:pPr>
            <w:r>
              <w:rPr>
                <w:sz w:val="19"/>
              </w:rPr>
              <w:t>Private migration adviser — refugee, protection and CSP (subclass 202) assistance</w:t>
            </w:r>
          </w:p>
        </w:tc>
        <w:tc>
          <w:tcPr>
            <w:tcW w:w="2948" w:type="dxa"/>
          </w:tcPr>
          <w:p w14:paraId="4360BCBC">
            <w:pPr>
              <w:spacing w:before="40" w:after="40" w:line="240" w:lineRule="auto"/>
            </w:pPr>
            <w:r>
              <w:rPr>
                <w:sz w:val="19"/>
              </w:rPr>
              <w:t>Level 10, 95 North Quay, Brisbane QLD 4000; (07) 2112 4858; info@kindramigration.com.au</w:t>
            </w:r>
          </w:p>
        </w:tc>
        <w:tc>
          <w:tcPr>
            <w:tcW w:w="1644" w:type="dxa"/>
          </w:tcPr>
          <w:p w14:paraId="50F41937">
            <w:pPr>
              <w:spacing w:before="40" w:after="40" w:line="240" w:lineRule="auto"/>
            </w:pPr>
            <w:r>
              <w:rPr>
                <w:sz w:val="19"/>
              </w:rPr>
              <w:t>Private fee-for-service — REQUIRES VERIFICATION</w:t>
            </w:r>
          </w:p>
        </w:tc>
      </w:tr>
      <w:tr w14:paraId="4EC60E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40" w:type="dxa"/>
            <w:left w:w="80" w:type="dxa"/>
            <w:bottom w:w="40" w:type="dxa"/>
            <w:right w:w="80" w:type="dxa"/>
          </w:tblCellMar>
        </w:tblPrEx>
        <w:trPr>
          <w:jc w:val="center"/>
        </w:trPr>
        <w:tc>
          <w:tcPr>
            <w:tcW w:w="2608" w:type="dxa"/>
            <w:shd w:val="clear" w:color="auto" w:fill="F5F9FC"/>
          </w:tcPr>
          <w:p w14:paraId="3AD3A2EF">
            <w:pPr>
              <w:spacing w:before="40" w:after="40" w:line="240" w:lineRule="auto"/>
            </w:pPr>
            <w:r>
              <w:rPr>
                <w:sz w:val="19"/>
              </w:rPr>
              <w:t>Australian Migration Lawyers</w:t>
            </w:r>
          </w:p>
        </w:tc>
        <w:tc>
          <w:tcPr>
            <w:tcW w:w="2608" w:type="dxa"/>
          </w:tcPr>
          <w:p w14:paraId="23EF5D3E">
            <w:pPr>
              <w:spacing w:before="40" w:after="40" w:line="240" w:lineRule="auto"/>
            </w:pPr>
            <w:r>
              <w:rPr>
                <w:sz w:val="19"/>
              </w:rPr>
              <w:t>Legal consultancy and private advice for humanitarian and CSP visas</w:t>
            </w:r>
          </w:p>
        </w:tc>
        <w:tc>
          <w:tcPr>
            <w:tcW w:w="2948" w:type="dxa"/>
          </w:tcPr>
          <w:p w14:paraId="767CC546">
            <w:pPr>
              <w:spacing w:before="40" w:after="40" w:line="240" w:lineRule="auto"/>
            </w:pPr>
            <w:r>
              <w:rPr>
                <w:sz w:val="19"/>
              </w:rPr>
              <w:t>Level 4, 260 Queen Street, Brisbane QLD 4000; 1300 242 505</w:t>
            </w:r>
          </w:p>
        </w:tc>
        <w:tc>
          <w:tcPr>
            <w:tcW w:w="1644" w:type="dxa"/>
          </w:tcPr>
          <w:p w14:paraId="6FF5FF48">
            <w:pPr>
              <w:spacing w:before="40" w:after="40" w:line="240" w:lineRule="auto"/>
            </w:pPr>
            <w:r>
              <w:rPr>
                <w:sz w:val="19"/>
              </w:rPr>
              <w:t>Private fee-for-service — REQUIRES VERIFICATION</w:t>
            </w:r>
          </w:p>
        </w:tc>
      </w:tr>
      <w:tr w14:paraId="7928F9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40" w:type="dxa"/>
            <w:left w:w="80" w:type="dxa"/>
            <w:bottom w:w="40" w:type="dxa"/>
            <w:right w:w="80" w:type="dxa"/>
          </w:tblCellMar>
        </w:tblPrEx>
        <w:trPr>
          <w:jc w:val="center"/>
        </w:trPr>
        <w:tc>
          <w:tcPr>
            <w:tcW w:w="2608" w:type="dxa"/>
            <w:shd w:val="clear" w:color="auto" w:fill="F5F9FC"/>
          </w:tcPr>
          <w:p w14:paraId="59268BA1">
            <w:pPr>
              <w:spacing w:before="40" w:after="40" w:line="240" w:lineRule="auto"/>
            </w:pPr>
            <w:r>
              <w:rPr>
                <w:sz w:val="19"/>
              </w:rPr>
              <w:t>Australian Migration Agents Pty Ltd</w:t>
            </w:r>
          </w:p>
        </w:tc>
        <w:tc>
          <w:tcPr>
            <w:tcW w:w="2608" w:type="dxa"/>
          </w:tcPr>
          <w:p w14:paraId="75AE1261">
            <w:pPr>
              <w:spacing w:before="40" w:after="40" w:line="240" w:lineRule="auto"/>
            </w:pPr>
            <w:r>
              <w:rPr>
                <w:sz w:val="19"/>
              </w:rPr>
              <w:t>Registered migration agency services for offshore humanitarian and CSP proposals</w:t>
            </w:r>
          </w:p>
        </w:tc>
        <w:tc>
          <w:tcPr>
            <w:tcW w:w="2948" w:type="dxa"/>
          </w:tcPr>
          <w:p w14:paraId="3CD26612">
            <w:pPr>
              <w:spacing w:before="40" w:after="40" w:line="240" w:lineRule="auto"/>
            </w:pPr>
            <w:r>
              <w:rPr>
                <w:sz w:val="19"/>
              </w:rPr>
              <w:t>Level 1, 470 Pauls Terrace, Fortitude Valley QLD 4006; 1300 470 336</w:t>
            </w:r>
          </w:p>
        </w:tc>
        <w:tc>
          <w:tcPr>
            <w:tcW w:w="1644" w:type="dxa"/>
          </w:tcPr>
          <w:p w14:paraId="0F54FC7E">
            <w:pPr>
              <w:spacing w:before="40" w:after="40" w:line="240" w:lineRule="auto"/>
            </w:pPr>
            <w:r>
              <w:rPr>
                <w:sz w:val="19"/>
              </w:rPr>
              <w:t>Private fee-for-service — REQUIRES VERIFICATION</w:t>
            </w:r>
          </w:p>
        </w:tc>
      </w:tr>
      <w:tr w14:paraId="11DF92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40" w:type="dxa"/>
            <w:left w:w="80" w:type="dxa"/>
            <w:bottom w:w="40" w:type="dxa"/>
            <w:right w:w="80" w:type="dxa"/>
          </w:tblCellMar>
        </w:tblPrEx>
        <w:trPr>
          <w:jc w:val="center"/>
        </w:trPr>
        <w:tc>
          <w:tcPr>
            <w:tcW w:w="2608" w:type="dxa"/>
            <w:shd w:val="clear" w:color="auto" w:fill="F5F9FC"/>
          </w:tcPr>
          <w:p w14:paraId="78ACF919">
            <w:pPr>
              <w:spacing w:before="40" w:after="40" w:line="240" w:lineRule="auto"/>
            </w:pPr>
            <w:r>
              <w:rPr>
                <w:sz w:val="19"/>
              </w:rPr>
              <w:t>Salvo Migration Pty Ltd</w:t>
            </w:r>
          </w:p>
        </w:tc>
        <w:tc>
          <w:tcPr>
            <w:tcW w:w="2608" w:type="dxa"/>
          </w:tcPr>
          <w:p w14:paraId="7B9CE5A6">
            <w:pPr>
              <w:spacing w:before="40" w:after="40" w:line="240" w:lineRule="auto"/>
            </w:pPr>
            <w:r>
              <w:rPr>
                <w:sz w:val="19"/>
              </w:rPr>
              <w:t>Private immigration law and registered migration legal practice</w:t>
            </w:r>
          </w:p>
        </w:tc>
        <w:tc>
          <w:tcPr>
            <w:tcW w:w="2948" w:type="dxa"/>
          </w:tcPr>
          <w:p w14:paraId="562C71C3">
            <w:pPr>
              <w:spacing w:before="40" w:after="40" w:line="240" w:lineRule="auto"/>
            </w:pPr>
            <w:r>
              <w:rPr>
                <w:sz w:val="19"/>
              </w:rPr>
              <w:t>Level 5, 320 Adelaide Street, Brisbane QLD 4000 (by appointment); 1300 644 788</w:t>
            </w:r>
          </w:p>
        </w:tc>
        <w:tc>
          <w:tcPr>
            <w:tcW w:w="1644" w:type="dxa"/>
          </w:tcPr>
          <w:p w14:paraId="45D76DC3">
            <w:pPr>
              <w:spacing w:before="40" w:after="40" w:line="240" w:lineRule="auto"/>
            </w:pPr>
            <w:r>
              <w:rPr>
                <w:sz w:val="19"/>
              </w:rPr>
              <w:t>Private fee-for-service — REQUIRES VERIFICATION</w:t>
            </w:r>
          </w:p>
        </w:tc>
      </w:tr>
      <w:tr w14:paraId="0DC443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40" w:type="dxa"/>
            <w:left w:w="80" w:type="dxa"/>
            <w:bottom w:w="40" w:type="dxa"/>
            <w:right w:w="80" w:type="dxa"/>
          </w:tblCellMar>
        </w:tblPrEx>
        <w:trPr>
          <w:jc w:val="center"/>
        </w:trPr>
        <w:tc>
          <w:tcPr>
            <w:tcW w:w="2608" w:type="dxa"/>
            <w:shd w:val="clear" w:color="auto" w:fill="F5F9FC"/>
          </w:tcPr>
          <w:p w14:paraId="5F29A3C8">
            <w:pPr>
              <w:spacing w:before="40" w:after="40" w:line="240" w:lineRule="auto"/>
            </w:pPr>
            <w:r>
              <w:rPr>
                <w:sz w:val="19"/>
              </w:rPr>
              <w:t>Emerson Migration Law</w:t>
            </w:r>
          </w:p>
        </w:tc>
        <w:tc>
          <w:tcPr>
            <w:tcW w:w="2608" w:type="dxa"/>
          </w:tcPr>
          <w:p w14:paraId="66111F32">
            <w:pPr>
              <w:spacing w:before="40" w:after="40" w:line="240" w:lineRule="auto"/>
            </w:pPr>
            <w:r>
              <w:rPr>
                <w:sz w:val="19"/>
              </w:rPr>
              <w:t>Private immigration law and visa advocacy</w:t>
            </w:r>
          </w:p>
        </w:tc>
        <w:tc>
          <w:tcPr>
            <w:tcW w:w="2948" w:type="dxa"/>
          </w:tcPr>
          <w:p w14:paraId="01F161E3">
            <w:pPr>
              <w:spacing w:before="40" w:after="40" w:line="240" w:lineRule="auto"/>
            </w:pPr>
            <w:r>
              <w:rPr>
                <w:sz w:val="19"/>
              </w:rPr>
              <w:t>Level 8, Northpoint Building, 231 North Quay, Brisbane QLD 4000; (07) 3211 4920</w:t>
            </w:r>
          </w:p>
        </w:tc>
        <w:tc>
          <w:tcPr>
            <w:tcW w:w="1644" w:type="dxa"/>
          </w:tcPr>
          <w:p w14:paraId="39AEF279">
            <w:pPr>
              <w:spacing w:before="40" w:after="40" w:line="240" w:lineRule="auto"/>
            </w:pPr>
            <w:r>
              <w:rPr>
                <w:sz w:val="19"/>
              </w:rPr>
              <w:t>Private fee-for-service — REQUIRES VERIFICATION</w:t>
            </w:r>
          </w:p>
        </w:tc>
      </w:tr>
      <w:tr w14:paraId="05CEBD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40" w:type="dxa"/>
            <w:left w:w="80" w:type="dxa"/>
            <w:bottom w:w="40" w:type="dxa"/>
            <w:right w:w="80" w:type="dxa"/>
          </w:tblCellMar>
        </w:tblPrEx>
        <w:trPr>
          <w:jc w:val="center"/>
        </w:trPr>
        <w:tc>
          <w:tcPr>
            <w:tcW w:w="2608" w:type="dxa"/>
            <w:shd w:val="clear" w:color="auto" w:fill="F5F9FC"/>
          </w:tcPr>
          <w:p w14:paraId="7D7DB777">
            <w:pPr>
              <w:spacing w:before="40" w:after="40" w:line="240" w:lineRule="auto"/>
            </w:pPr>
            <w:r>
              <w:rPr>
                <w:sz w:val="19"/>
              </w:rPr>
              <w:t>Timpson Immigration Lawyers</w:t>
            </w:r>
          </w:p>
        </w:tc>
        <w:tc>
          <w:tcPr>
            <w:tcW w:w="2608" w:type="dxa"/>
          </w:tcPr>
          <w:p w14:paraId="235B2FCD">
            <w:pPr>
              <w:spacing w:before="40" w:after="40" w:line="240" w:lineRule="auto"/>
            </w:pPr>
            <w:r>
              <w:rPr>
                <w:sz w:val="19"/>
              </w:rPr>
              <w:t>Specialist immigration law firm</w:t>
            </w:r>
          </w:p>
        </w:tc>
        <w:tc>
          <w:tcPr>
            <w:tcW w:w="2948" w:type="dxa"/>
          </w:tcPr>
          <w:p w14:paraId="42C0BDD3">
            <w:pPr>
              <w:spacing w:before="40" w:after="40" w:line="240" w:lineRule="auto"/>
            </w:pPr>
            <w:r>
              <w:rPr>
                <w:sz w:val="19"/>
              </w:rPr>
              <w:t>Level 10, 95 North Quay, Brisbane QLD 4000; (07) 3166 9100</w:t>
            </w:r>
          </w:p>
        </w:tc>
        <w:tc>
          <w:tcPr>
            <w:tcW w:w="1644" w:type="dxa"/>
          </w:tcPr>
          <w:p w14:paraId="5D80B581">
            <w:pPr>
              <w:spacing w:before="40" w:after="40" w:line="240" w:lineRule="auto"/>
            </w:pPr>
            <w:r>
              <w:rPr>
                <w:sz w:val="19"/>
              </w:rPr>
              <w:t>Private fee-for-service — REQUIRES VERIFICATION</w:t>
            </w:r>
          </w:p>
        </w:tc>
      </w:tr>
      <w:tr w14:paraId="0DB8BD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40" w:type="dxa"/>
            <w:left w:w="80" w:type="dxa"/>
            <w:bottom w:w="40" w:type="dxa"/>
            <w:right w:w="80" w:type="dxa"/>
          </w:tblCellMar>
        </w:tblPrEx>
        <w:trPr>
          <w:jc w:val="center"/>
        </w:trPr>
        <w:tc>
          <w:tcPr>
            <w:tcW w:w="2608" w:type="dxa"/>
            <w:shd w:val="clear" w:color="auto" w:fill="F5F9FC"/>
          </w:tcPr>
          <w:p w14:paraId="793E64AB">
            <w:pPr>
              <w:spacing w:before="40" w:after="40" w:line="240" w:lineRule="auto"/>
            </w:pPr>
            <w:r>
              <w:rPr>
                <w:sz w:val="19"/>
              </w:rPr>
              <w:t>No Borders Law Group</w:t>
            </w:r>
          </w:p>
        </w:tc>
        <w:tc>
          <w:tcPr>
            <w:tcW w:w="2608" w:type="dxa"/>
          </w:tcPr>
          <w:p w14:paraId="1BC3405A">
            <w:pPr>
              <w:spacing w:before="40" w:after="40" w:line="240" w:lineRule="auto"/>
            </w:pPr>
            <w:r>
              <w:rPr>
                <w:sz w:val="19"/>
              </w:rPr>
              <w:t>Private migration law and legal representation</w:t>
            </w:r>
          </w:p>
        </w:tc>
        <w:tc>
          <w:tcPr>
            <w:tcW w:w="2948" w:type="dxa"/>
          </w:tcPr>
          <w:p w14:paraId="7528116D">
            <w:pPr>
              <w:spacing w:before="40" w:after="40" w:line="240" w:lineRule="auto"/>
            </w:pPr>
            <w:r>
              <w:rPr>
                <w:sz w:val="19"/>
              </w:rPr>
              <w:t>Milton Green, Ground Floor, 147 Coronation Drive, Milton QLD 4064; (07) 3876 5111</w:t>
            </w:r>
          </w:p>
        </w:tc>
        <w:tc>
          <w:tcPr>
            <w:tcW w:w="1644" w:type="dxa"/>
          </w:tcPr>
          <w:p w14:paraId="448F016D">
            <w:pPr>
              <w:spacing w:before="40" w:after="40" w:line="240" w:lineRule="auto"/>
            </w:pPr>
            <w:r>
              <w:rPr>
                <w:sz w:val="19"/>
              </w:rPr>
              <w:t>Private fee-for-service — REQUIRES VERIFICATION</w:t>
            </w:r>
          </w:p>
        </w:tc>
      </w:tr>
    </w:tbl>
    <w:p w14:paraId="66CD3722">
      <w:pPr>
        <w:pStyle w:val="3"/>
      </w:pPr>
      <w:r>
        <w:rPr>
          <w:color w:val="0066CC"/>
        </w:rPr>
        <w:t>14.3 Downloadable Resources and Other Useful Websites</w:t>
      </w:r>
    </w:p>
    <w:tbl>
      <w:tblPr>
        <w:tblStyle w:val="35"/>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0" w:type="dxa"/>
          <w:left w:w="80" w:type="dxa"/>
          <w:bottom w:w="40" w:type="dxa"/>
          <w:right w:w="80" w:type="dxa"/>
        </w:tblCellMar>
      </w:tblPr>
      <w:tblGrid>
        <w:gridCol w:w="3213"/>
        <w:gridCol w:w="3213"/>
        <w:gridCol w:w="3213"/>
      </w:tblGrid>
      <w:tr w14:paraId="4FF664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40" w:type="dxa"/>
            <w:left w:w="80" w:type="dxa"/>
            <w:bottom w:w="40" w:type="dxa"/>
            <w:right w:w="80" w:type="dxa"/>
          </w:tblCellMar>
        </w:tblPrEx>
        <w:trPr>
          <w:tblHeader/>
          <w:jc w:val="center"/>
        </w:trPr>
        <w:tc>
          <w:tcPr>
            <w:tcW w:w="3515" w:type="dxa"/>
            <w:shd w:val="clear" w:color="auto" w:fill="002B49"/>
          </w:tcPr>
          <w:p w14:paraId="12E0670D">
            <w:pPr>
              <w:spacing w:before="40" w:after="40" w:line="240" w:lineRule="auto"/>
            </w:pPr>
            <w:r>
              <w:rPr>
                <w:b/>
                <w:color w:val="FFFFFF"/>
                <w:sz w:val="19"/>
              </w:rPr>
              <w:t>Title</w:t>
            </w:r>
          </w:p>
        </w:tc>
        <w:tc>
          <w:tcPr>
            <w:tcW w:w="3628" w:type="dxa"/>
            <w:shd w:val="clear" w:color="auto" w:fill="002B49"/>
          </w:tcPr>
          <w:p w14:paraId="610FD60F">
            <w:pPr>
              <w:spacing w:before="40" w:after="40" w:line="240" w:lineRule="auto"/>
            </w:pPr>
            <w:r>
              <w:rPr>
                <w:b/>
                <w:color w:val="FFFFFF"/>
                <w:sz w:val="19"/>
              </w:rPr>
              <w:t>Description</w:t>
            </w:r>
          </w:p>
        </w:tc>
        <w:tc>
          <w:tcPr>
            <w:tcW w:w="2665" w:type="dxa"/>
            <w:shd w:val="clear" w:color="auto" w:fill="002B49"/>
          </w:tcPr>
          <w:p w14:paraId="7F5B9235">
            <w:pPr>
              <w:spacing w:before="40" w:after="40" w:line="240" w:lineRule="auto"/>
            </w:pPr>
            <w:r>
              <w:rPr>
                <w:b/>
                <w:color w:val="FFFFFF"/>
                <w:sz w:val="19"/>
              </w:rPr>
              <w:t>URL</w:t>
            </w:r>
          </w:p>
        </w:tc>
      </w:tr>
      <w:tr w14:paraId="73A6B0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40" w:type="dxa"/>
            <w:left w:w="80" w:type="dxa"/>
            <w:bottom w:w="40" w:type="dxa"/>
            <w:right w:w="80" w:type="dxa"/>
          </w:tblCellMar>
        </w:tblPrEx>
        <w:trPr>
          <w:jc w:val="center"/>
        </w:trPr>
        <w:tc>
          <w:tcPr>
            <w:tcW w:w="3515" w:type="dxa"/>
            <w:shd w:val="clear" w:color="auto" w:fill="F5F9FC"/>
          </w:tcPr>
          <w:p w14:paraId="12CBE8B2">
            <w:pPr>
              <w:spacing w:before="40" w:after="40" w:line="240" w:lineRule="auto"/>
            </w:pPr>
            <w:r>
              <w:rPr>
                <w:sz w:val="19"/>
              </w:rPr>
              <w:t>AMEP Eligible Temporary Visas</w:t>
            </w:r>
          </w:p>
        </w:tc>
        <w:tc>
          <w:tcPr>
            <w:tcW w:w="3628" w:type="dxa"/>
          </w:tcPr>
          <w:p w14:paraId="543670A7">
            <w:pPr>
              <w:spacing w:before="40" w:after="40" w:line="240" w:lineRule="auto"/>
            </w:pPr>
            <w:r>
              <w:rPr>
                <w:sz w:val="19"/>
              </w:rPr>
              <w:t>List of eligible temporary visas for AMEP participation.</w:t>
            </w:r>
          </w:p>
        </w:tc>
        <w:tc>
          <w:tcPr>
            <w:tcW w:w="2665" w:type="dxa"/>
          </w:tcPr>
          <w:p w14:paraId="1B36F6AD">
            <w:pPr>
              <w:spacing w:before="40" w:after="40" w:line="240" w:lineRule="auto"/>
            </w:pPr>
            <w:r>
              <w:fldChar w:fldCharType="begin"/>
            </w:r>
            <w:r>
              <w:instrText xml:space="preserve"> HYPERLINK "https://immi.homeaffairs.gov.au/amep-subsite/Files/amep-eligible-temporary-visas.pdf" \h </w:instrText>
            </w:r>
            <w:r>
              <w:fldChar w:fldCharType="separate"/>
            </w:r>
            <w:r>
              <w:rPr>
                <w:rFonts w:ascii="Calibri" w:hAnsi="Calibri"/>
                <w:color w:val="0066CC"/>
                <w:sz w:val="19"/>
                <w:u w:val="single"/>
              </w:rPr>
              <w:t>https://immi.homeaffairs.gov.au/amep-subsite/Files/amep-eligible-temporary-visas.pdf</w:t>
            </w:r>
            <w:r>
              <w:rPr>
                <w:rFonts w:ascii="Calibri" w:hAnsi="Calibri"/>
                <w:color w:val="0066CC"/>
                <w:sz w:val="19"/>
                <w:u w:val="single"/>
              </w:rPr>
              <w:fldChar w:fldCharType="end"/>
            </w:r>
          </w:p>
        </w:tc>
      </w:tr>
      <w:tr w14:paraId="10BF11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40" w:type="dxa"/>
            <w:left w:w="80" w:type="dxa"/>
            <w:bottom w:w="40" w:type="dxa"/>
            <w:right w:w="80" w:type="dxa"/>
          </w:tblCellMar>
        </w:tblPrEx>
        <w:trPr>
          <w:jc w:val="center"/>
        </w:trPr>
        <w:tc>
          <w:tcPr>
            <w:tcW w:w="3515" w:type="dxa"/>
            <w:shd w:val="clear" w:color="auto" w:fill="F5F9FC"/>
          </w:tcPr>
          <w:p w14:paraId="19879D83">
            <w:pPr>
              <w:spacing w:before="40" w:after="40" w:line="240" w:lineRule="auto"/>
            </w:pPr>
            <w:r>
              <w:rPr>
                <w:sz w:val="19"/>
              </w:rPr>
              <w:t>An Employer's Guide to Working with Refugees</w:t>
            </w:r>
          </w:p>
        </w:tc>
        <w:tc>
          <w:tcPr>
            <w:tcW w:w="3628" w:type="dxa"/>
          </w:tcPr>
          <w:p w14:paraId="7BC6F133">
            <w:pPr>
              <w:spacing w:before="40" w:after="40" w:line="240" w:lineRule="auto"/>
            </w:pPr>
            <w:r>
              <w:rPr>
                <w:sz w:val="19"/>
              </w:rPr>
              <w:t>Benefits of employing refugees, employer experiences and best practice.</w:t>
            </w:r>
          </w:p>
        </w:tc>
        <w:tc>
          <w:tcPr>
            <w:tcW w:w="2665" w:type="dxa"/>
          </w:tcPr>
          <w:p w14:paraId="47FC70DF">
            <w:pPr>
              <w:spacing w:before="40" w:after="40" w:line="240" w:lineRule="auto"/>
            </w:pPr>
            <w:r>
              <w:fldChar w:fldCharType="begin"/>
            </w:r>
            <w:r>
              <w:instrText xml:space="preserve"> HYPERLINK "https://immi.homeaffairs.gov.au/settlement-services-subsite/files/an-employers-guide-to-working-with-refugees.pdf" \h </w:instrText>
            </w:r>
            <w:r>
              <w:fldChar w:fldCharType="separate"/>
            </w:r>
            <w:r>
              <w:rPr>
                <w:rFonts w:ascii="Calibri" w:hAnsi="Calibri"/>
                <w:color w:val="0066CC"/>
                <w:sz w:val="19"/>
                <w:u w:val="single"/>
              </w:rPr>
              <w:t>https://immi.homeaffairs.gov.au/settlement-services-subsite/files/an-employers-guide-to-working-with-refugees.pdf</w:t>
            </w:r>
            <w:r>
              <w:rPr>
                <w:rFonts w:ascii="Calibri" w:hAnsi="Calibri"/>
                <w:color w:val="0066CC"/>
                <w:sz w:val="19"/>
                <w:u w:val="single"/>
              </w:rPr>
              <w:fldChar w:fldCharType="end"/>
            </w:r>
          </w:p>
        </w:tc>
      </w:tr>
      <w:tr w14:paraId="5B96BC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40" w:type="dxa"/>
            <w:left w:w="80" w:type="dxa"/>
            <w:bottom w:w="40" w:type="dxa"/>
            <w:right w:w="80" w:type="dxa"/>
          </w:tblCellMar>
        </w:tblPrEx>
        <w:trPr>
          <w:jc w:val="center"/>
        </w:trPr>
        <w:tc>
          <w:tcPr>
            <w:tcW w:w="3515" w:type="dxa"/>
            <w:shd w:val="clear" w:color="auto" w:fill="F5F9FC"/>
          </w:tcPr>
          <w:p w14:paraId="787A2D3B">
            <w:pPr>
              <w:spacing w:before="40" w:after="40" w:line="240" w:lineRule="auto"/>
            </w:pPr>
            <w:r>
              <w:rPr>
                <w:sz w:val="19"/>
              </w:rPr>
              <w:t>A Social Entrepreneur's Guide — Boosting Refugees' Economic Participation</w:t>
            </w:r>
          </w:p>
        </w:tc>
        <w:tc>
          <w:tcPr>
            <w:tcW w:w="3628" w:type="dxa"/>
          </w:tcPr>
          <w:p w14:paraId="3C2910C1">
            <w:pPr>
              <w:spacing w:before="40" w:after="40" w:line="240" w:lineRule="auto"/>
            </w:pPr>
            <w:r>
              <w:rPr>
                <w:sz w:val="19"/>
              </w:rPr>
              <w:t>Data, information and case studies for social entrepreneurs from refugee and humanitarian communities.</w:t>
            </w:r>
          </w:p>
        </w:tc>
        <w:tc>
          <w:tcPr>
            <w:tcW w:w="2665" w:type="dxa"/>
          </w:tcPr>
          <w:p w14:paraId="1649B188">
            <w:pPr>
              <w:spacing w:before="40" w:after="40" w:line="240" w:lineRule="auto"/>
            </w:pPr>
            <w:r>
              <w:fldChar w:fldCharType="begin"/>
            </w:r>
            <w:r>
              <w:instrText xml:space="preserve"> HYPERLINK "https://immi.homeaffairs.gov.au/settlement-services-subsite/files/A-social-entrepreneur-guide-boosting-refugees-economic-participation.pdf" \h </w:instrText>
            </w:r>
            <w:r>
              <w:fldChar w:fldCharType="separate"/>
            </w:r>
            <w:r>
              <w:rPr>
                <w:rFonts w:ascii="Calibri" w:hAnsi="Calibri"/>
                <w:color w:val="0066CC"/>
                <w:sz w:val="19"/>
                <w:u w:val="single"/>
              </w:rPr>
              <w:t>https://immi.homeaffairs.gov.au/settlement-services-subsite/files/A-social-entrepreneur-guide-boosting-refugees-economic-participation.pdf</w:t>
            </w:r>
            <w:r>
              <w:rPr>
                <w:rFonts w:ascii="Calibri" w:hAnsi="Calibri"/>
                <w:color w:val="0066CC"/>
                <w:sz w:val="19"/>
                <w:u w:val="single"/>
              </w:rPr>
              <w:fldChar w:fldCharType="end"/>
            </w:r>
          </w:p>
        </w:tc>
      </w:tr>
      <w:tr w14:paraId="41D86A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40" w:type="dxa"/>
            <w:left w:w="80" w:type="dxa"/>
            <w:bottom w:w="40" w:type="dxa"/>
            <w:right w:w="80" w:type="dxa"/>
          </w:tblCellMar>
        </w:tblPrEx>
        <w:trPr>
          <w:jc w:val="center"/>
        </w:trPr>
        <w:tc>
          <w:tcPr>
            <w:tcW w:w="3515" w:type="dxa"/>
            <w:shd w:val="clear" w:color="auto" w:fill="F5F9FC"/>
          </w:tcPr>
          <w:p w14:paraId="46B6118A">
            <w:pPr>
              <w:spacing w:before="40" w:after="40" w:line="240" w:lineRule="auto"/>
            </w:pPr>
            <w:r>
              <w:rPr>
                <w:sz w:val="19"/>
              </w:rPr>
              <w:t>Evaluation of the EPRI Program — Report</w:t>
            </w:r>
          </w:p>
        </w:tc>
        <w:tc>
          <w:tcPr>
            <w:tcW w:w="3628" w:type="dxa"/>
          </w:tcPr>
          <w:p w14:paraId="3B6F3D9B">
            <w:pPr>
              <w:spacing w:before="40" w:after="40" w:line="240" w:lineRule="auto"/>
            </w:pPr>
            <w:r>
              <w:rPr>
                <w:sz w:val="19"/>
              </w:rPr>
              <w:t>Independent evaluation of the EPRI program (Whereto Research).</w:t>
            </w:r>
          </w:p>
        </w:tc>
        <w:tc>
          <w:tcPr>
            <w:tcW w:w="2665" w:type="dxa"/>
          </w:tcPr>
          <w:p w14:paraId="66EA7420">
            <w:pPr>
              <w:spacing w:before="40" w:after="40" w:line="240" w:lineRule="auto"/>
            </w:pPr>
            <w:r>
              <w:fldChar w:fldCharType="begin"/>
            </w:r>
            <w:r>
              <w:instrText xml:space="preserve"> HYPERLINK "https://immi.homeaffairs.gov.au/settlement-services-subsite/files/epri-evaluation-report.pdf" \h </w:instrText>
            </w:r>
            <w:r>
              <w:fldChar w:fldCharType="separate"/>
            </w:r>
            <w:r>
              <w:rPr>
                <w:rFonts w:ascii="Calibri" w:hAnsi="Calibri"/>
                <w:color w:val="0066CC"/>
                <w:sz w:val="19"/>
                <w:u w:val="single"/>
              </w:rPr>
              <w:t>https://immi.homeaffairs.gov.au/settlement-services-subsite/files/epri-evaluation-report.pdf</w:t>
            </w:r>
            <w:r>
              <w:rPr>
                <w:rFonts w:ascii="Calibri" w:hAnsi="Calibri"/>
                <w:color w:val="0066CC"/>
                <w:sz w:val="19"/>
                <w:u w:val="single"/>
              </w:rPr>
              <w:fldChar w:fldCharType="end"/>
            </w:r>
          </w:p>
        </w:tc>
      </w:tr>
      <w:tr w14:paraId="51AEC6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40" w:type="dxa"/>
            <w:left w:w="80" w:type="dxa"/>
            <w:bottom w:w="40" w:type="dxa"/>
            <w:right w:w="80" w:type="dxa"/>
          </w:tblCellMar>
        </w:tblPrEx>
        <w:trPr>
          <w:jc w:val="center"/>
        </w:trPr>
        <w:tc>
          <w:tcPr>
            <w:tcW w:w="3515" w:type="dxa"/>
            <w:shd w:val="clear" w:color="auto" w:fill="F5F9FC"/>
          </w:tcPr>
          <w:p w14:paraId="7C39EA10">
            <w:pPr>
              <w:spacing w:before="40" w:after="40" w:line="240" w:lineRule="auto"/>
            </w:pPr>
            <w:r>
              <w:rPr>
                <w:sz w:val="19"/>
              </w:rPr>
              <w:t>Jobseeker Snapshot Overview / Offline Form</w:t>
            </w:r>
          </w:p>
        </w:tc>
        <w:tc>
          <w:tcPr>
            <w:tcW w:w="3628" w:type="dxa"/>
          </w:tcPr>
          <w:p w14:paraId="57E0B4BA">
            <w:pPr>
              <w:spacing w:before="40" w:after="40" w:line="240" w:lineRule="auto"/>
            </w:pPr>
            <w:r>
              <w:rPr>
                <w:sz w:val="19"/>
              </w:rPr>
              <w:t>Jobseeker assessment framework documents.</w:t>
            </w:r>
          </w:p>
        </w:tc>
        <w:tc>
          <w:tcPr>
            <w:tcW w:w="2665" w:type="dxa"/>
          </w:tcPr>
          <w:p w14:paraId="38B8B7F8">
            <w:pPr>
              <w:spacing w:before="40" w:after="40" w:line="240" w:lineRule="auto"/>
            </w:pPr>
            <w:r>
              <w:fldChar w:fldCharType="begin"/>
            </w:r>
            <w:r>
              <w:instrText xml:space="preserve"> HYPERLINK "https://www.dewr.gov.au/job-seeker-assessment-framework" \h </w:instrText>
            </w:r>
            <w:r>
              <w:fldChar w:fldCharType="separate"/>
            </w:r>
            <w:r>
              <w:rPr>
                <w:rFonts w:ascii="Calibri" w:hAnsi="Calibri"/>
                <w:color w:val="0066CC"/>
                <w:sz w:val="19"/>
                <w:u w:val="single"/>
              </w:rPr>
              <w:t>https://www.dewr.gov.au/job-seeker-assessment-framework</w:t>
            </w:r>
            <w:r>
              <w:rPr>
                <w:rFonts w:ascii="Calibri" w:hAnsi="Calibri"/>
                <w:color w:val="0066CC"/>
                <w:sz w:val="19"/>
                <w:u w:val="single"/>
              </w:rPr>
              <w:fldChar w:fldCharType="end"/>
            </w:r>
          </w:p>
        </w:tc>
      </w:tr>
      <w:tr w14:paraId="108DA2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40" w:type="dxa"/>
            <w:left w:w="80" w:type="dxa"/>
            <w:bottom w:w="40" w:type="dxa"/>
            <w:right w:w="80" w:type="dxa"/>
          </w:tblCellMar>
        </w:tblPrEx>
        <w:trPr>
          <w:jc w:val="center"/>
        </w:trPr>
        <w:tc>
          <w:tcPr>
            <w:tcW w:w="3515" w:type="dxa"/>
            <w:shd w:val="clear" w:color="auto" w:fill="F5F9FC"/>
          </w:tcPr>
          <w:p w14:paraId="487F57BB">
            <w:pPr>
              <w:spacing w:before="40" w:after="40" w:line="240" w:lineRule="auto"/>
            </w:pPr>
            <w:r>
              <w:rPr>
                <w:sz w:val="19"/>
              </w:rPr>
              <w:t>SEE Factsheets (Employers, Industry Associations, Unions)</w:t>
            </w:r>
          </w:p>
        </w:tc>
        <w:tc>
          <w:tcPr>
            <w:tcW w:w="3628" w:type="dxa"/>
          </w:tcPr>
          <w:p w14:paraId="785F61B3">
            <w:pPr>
              <w:spacing w:before="40" w:after="40" w:line="240" w:lineRule="auto"/>
            </w:pPr>
            <w:r>
              <w:rPr>
                <w:sz w:val="19"/>
              </w:rPr>
              <w:t>Benefits of the SEE program for employers, industry and unions.</w:t>
            </w:r>
          </w:p>
        </w:tc>
        <w:tc>
          <w:tcPr>
            <w:tcW w:w="2665" w:type="dxa"/>
          </w:tcPr>
          <w:p w14:paraId="3B6ED3FC">
            <w:pPr>
              <w:spacing w:before="40" w:after="40" w:line="240" w:lineRule="auto"/>
            </w:pPr>
            <w:r>
              <w:fldChar w:fldCharType="begin"/>
            </w:r>
            <w:r>
              <w:instrText xml:space="preserve"> HYPERLINK "https://www.dewr.gov.au/skills-education-and-employment/resources" \h </w:instrText>
            </w:r>
            <w:r>
              <w:fldChar w:fldCharType="separate"/>
            </w:r>
            <w:r>
              <w:rPr>
                <w:rFonts w:ascii="Calibri" w:hAnsi="Calibri"/>
                <w:color w:val="0066CC"/>
                <w:sz w:val="19"/>
                <w:u w:val="single"/>
              </w:rPr>
              <w:t>https://www.dewr.gov.au/skills-education-and-employment/resources</w:t>
            </w:r>
            <w:r>
              <w:rPr>
                <w:rFonts w:ascii="Calibri" w:hAnsi="Calibri"/>
                <w:color w:val="0066CC"/>
                <w:sz w:val="19"/>
                <w:u w:val="single"/>
              </w:rPr>
              <w:fldChar w:fldCharType="end"/>
            </w:r>
          </w:p>
        </w:tc>
      </w:tr>
      <w:tr w14:paraId="013697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40" w:type="dxa"/>
            <w:left w:w="80" w:type="dxa"/>
            <w:bottom w:w="40" w:type="dxa"/>
            <w:right w:w="80" w:type="dxa"/>
          </w:tblCellMar>
        </w:tblPrEx>
        <w:trPr>
          <w:jc w:val="center"/>
        </w:trPr>
        <w:tc>
          <w:tcPr>
            <w:tcW w:w="3515" w:type="dxa"/>
            <w:shd w:val="clear" w:color="auto" w:fill="F5F9FC"/>
          </w:tcPr>
          <w:p w14:paraId="5EA7C85B">
            <w:pPr>
              <w:spacing w:before="40" w:after="40" w:line="240" w:lineRule="auto"/>
            </w:pPr>
            <w:r>
              <w:rPr>
                <w:sz w:val="19"/>
              </w:rPr>
              <w:t>Parent Pathways Factsheet</w:t>
            </w:r>
          </w:p>
        </w:tc>
        <w:tc>
          <w:tcPr>
            <w:tcW w:w="3628" w:type="dxa"/>
          </w:tcPr>
          <w:p w14:paraId="5571504F">
            <w:pPr>
              <w:spacing w:before="40" w:after="40" w:line="240" w:lineRule="auto"/>
            </w:pPr>
            <w:r>
              <w:rPr>
                <w:sz w:val="19"/>
              </w:rPr>
              <w:t>Information on the voluntary pre-employment service for parents.</w:t>
            </w:r>
          </w:p>
        </w:tc>
        <w:tc>
          <w:tcPr>
            <w:tcW w:w="2665" w:type="dxa"/>
          </w:tcPr>
          <w:p w14:paraId="4E03CE12">
            <w:pPr>
              <w:spacing w:before="40" w:after="40" w:line="240" w:lineRule="auto"/>
            </w:pPr>
            <w:r>
              <w:fldChar w:fldCharType="begin"/>
            </w:r>
            <w:r>
              <w:instrText xml:space="preserve"> HYPERLINK "https://www.dewr.gov.au/parentpathways/resources" \h </w:instrText>
            </w:r>
            <w:r>
              <w:fldChar w:fldCharType="separate"/>
            </w:r>
            <w:r>
              <w:rPr>
                <w:rFonts w:ascii="Calibri" w:hAnsi="Calibri"/>
                <w:color w:val="0066CC"/>
                <w:sz w:val="19"/>
                <w:u w:val="single"/>
              </w:rPr>
              <w:t>https://www.dewr.gov.au/parentpathways/resources</w:t>
            </w:r>
            <w:r>
              <w:rPr>
                <w:rFonts w:ascii="Calibri" w:hAnsi="Calibri"/>
                <w:color w:val="0066CC"/>
                <w:sz w:val="19"/>
                <w:u w:val="single"/>
              </w:rPr>
              <w:fldChar w:fldCharType="end"/>
            </w:r>
          </w:p>
        </w:tc>
      </w:tr>
      <w:tr w14:paraId="178CD2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40" w:type="dxa"/>
            <w:left w:w="80" w:type="dxa"/>
            <w:bottom w:w="40" w:type="dxa"/>
            <w:right w:w="80" w:type="dxa"/>
          </w:tblCellMar>
        </w:tblPrEx>
        <w:trPr>
          <w:jc w:val="center"/>
        </w:trPr>
        <w:tc>
          <w:tcPr>
            <w:tcW w:w="3515" w:type="dxa"/>
            <w:shd w:val="clear" w:color="auto" w:fill="F5F9FC"/>
          </w:tcPr>
          <w:p w14:paraId="133D2CA6">
            <w:pPr>
              <w:spacing w:before="40" w:after="40" w:line="240" w:lineRule="auto"/>
            </w:pPr>
            <w:r>
              <w:rPr>
                <w:sz w:val="19"/>
              </w:rPr>
              <w:t>DEWR Complaints Factsheet</w:t>
            </w:r>
          </w:p>
        </w:tc>
        <w:tc>
          <w:tcPr>
            <w:tcW w:w="3628" w:type="dxa"/>
          </w:tcPr>
          <w:p w14:paraId="75B68207">
            <w:pPr>
              <w:spacing w:before="40" w:after="40" w:line="240" w:lineRule="auto"/>
            </w:pPr>
            <w:r>
              <w:rPr>
                <w:sz w:val="19"/>
              </w:rPr>
              <w:t>DEWR feedback and complaints handling.</w:t>
            </w:r>
          </w:p>
        </w:tc>
        <w:tc>
          <w:tcPr>
            <w:tcW w:w="2665" w:type="dxa"/>
          </w:tcPr>
          <w:p w14:paraId="721C629F">
            <w:pPr>
              <w:spacing w:before="40" w:after="40" w:line="240" w:lineRule="auto"/>
            </w:pPr>
            <w:r>
              <w:fldChar w:fldCharType="begin"/>
            </w:r>
            <w:r>
              <w:instrText xml:space="preserve"> HYPERLINK "https://www.dewr.gov.au/about-department/resources/complaints-factsheet" \h </w:instrText>
            </w:r>
            <w:r>
              <w:fldChar w:fldCharType="separate"/>
            </w:r>
            <w:r>
              <w:rPr>
                <w:rFonts w:ascii="Calibri" w:hAnsi="Calibri"/>
                <w:color w:val="0066CC"/>
                <w:sz w:val="19"/>
                <w:u w:val="single"/>
              </w:rPr>
              <w:t>https://www.dewr.gov.au/about-department/resources/complaints-factsheet</w:t>
            </w:r>
            <w:r>
              <w:rPr>
                <w:rFonts w:ascii="Calibri" w:hAnsi="Calibri"/>
                <w:color w:val="0066CC"/>
                <w:sz w:val="19"/>
                <w:u w:val="single"/>
              </w:rPr>
              <w:fldChar w:fldCharType="end"/>
            </w:r>
          </w:p>
        </w:tc>
      </w:tr>
      <w:tr w14:paraId="4531AE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40" w:type="dxa"/>
            <w:left w:w="80" w:type="dxa"/>
            <w:bottom w:w="40" w:type="dxa"/>
            <w:right w:w="80" w:type="dxa"/>
          </w:tblCellMar>
        </w:tblPrEx>
        <w:trPr>
          <w:jc w:val="center"/>
        </w:trPr>
        <w:tc>
          <w:tcPr>
            <w:tcW w:w="3515" w:type="dxa"/>
            <w:shd w:val="clear" w:color="auto" w:fill="F5F9FC"/>
          </w:tcPr>
          <w:p w14:paraId="4B8099CF">
            <w:pPr>
              <w:spacing w:before="40" w:after="40" w:line="240" w:lineRule="auto"/>
            </w:pPr>
            <w:r>
              <w:rPr>
                <w:sz w:val="19"/>
              </w:rPr>
              <w:t>IEA Easy Reads and factsheets</w:t>
            </w:r>
          </w:p>
        </w:tc>
        <w:tc>
          <w:tcPr>
            <w:tcW w:w="3628" w:type="dxa"/>
          </w:tcPr>
          <w:p w14:paraId="40D9E4B2">
            <w:pPr>
              <w:spacing w:before="40" w:after="40" w:line="240" w:lineRule="auto"/>
            </w:pPr>
            <w:r>
              <w:rPr>
                <w:sz w:val="19"/>
              </w:rPr>
              <w:t>How to choose a provider, support to find a job, privacy factsheet and more.</w:t>
            </w:r>
          </w:p>
        </w:tc>
        <w:tc>
          <w:tcPr>
            <w:tcW w:w="2665" w:type="dxa"/>
          </w:tcPr>
          <w:p w14:paraId="50542BB6">
            <w:pPr>
              <w:spacing w:before="40" w:after="40" w:line="240" w:lineRule="auto"/>
            </w:pPr>
            <w:r>
              <w:fldChar w:fldCharType="begin"/>
            </w:r>
            <w:r>
              <w:instrText xml:space="preserve"> HYPERLINK "https://www.dss.gov.au/inclusive-employment-australia" \h </w:instrText>
            </w:r>
            <w:r>
              <w:fldChar w:fldCharType="separate"/>
            </w:r>
            <w:r>
              <w:rPr>
                <w:rFonts w:ascii="Calibri" w:hAnsi="Calibri"/>
                <w:color w:val="0066CC"/>
                <w:sz w:val="19"/>
                <w:u w:val="single"/>
              </w:rPr>
              <w:t>https://www.dss.gov.au/inclusive-employment-australia</w:t>
            </w:r>
            <w:r>
              <w:rPr>
                <w:rFonts w:ascii="Calibri" w:hAnsi="Calibri"/>
                <w:color w:val="0066CC"/>
                <w:sz w:val="19"/>
                <w:u w:val="single"/>
              </w:rPr>
              <w:fldChar w:fldCharType="end"/>
            </w:r>
          </w:p>
        </w:tc>
      </w:tr>
      <w:tr w14:paraId="1AC7DC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40" w:type="dxa"/>
            <w:left w:w="80" w:type="dxa"/>
            <w:bottom w:w="40" w:type="dxa"/>
            <w:right w:w="80" w:type="dxa"/>
          </w:tblCellMar>
        </w:tblPrEx>
        <w:trPr>
          <w:jc w:val="center"/>
        </w:trPr>
        <w:tc>
          <w:tcPr>
            <w:tcW w:w="3515" w:type="dxa"/>
            <w:shd w:val="clear" w:color="auto" w:fill="F5F9FC"/>
          </w:tcPr>
          <w:p w14:paraId="04DA0460">
            <w:pPr>
              <w:spacing w:before="40" w:after="40" w:line="240" w:lineRule="auto"/>
            </w:pPr>
            <w:r>
              <w:rPr>
                <w:sz w:val="19"/>
              </w:rPr>
              <w:t>Visa Subclasses and Payment Eligibility (Social Security Guide)</w:t>
            </w:r>
          </w:p>
        </w:tc>
        <w:tc>
          <w:tcPr>
            <w:tcW w:w="3628" w:type="dxa"/>
          </w:tcPr>
          <w:p w14:paraId="107E03E8">
            <w:pPr>
              <w:spacing w:before="40" w:after="40" w:line="240" w:lineRule="auto"/>
            </w:pPr>
            <w:r>
              <w:rPr>
                <w:sz w:val="19"/>
              </w:rPr>
              <w:t>Guide to visa subclasses and associated payment eligibility.</w:t>
            </w:r>
          </w:p>
        </w:tc>
        <w:tc>
          <w:tcPr>
            <w:tcW w:w="2665" w:type="dxa"/>
          </w:tcPr>
          <w:p w14:paraId="07594E73">
            <w:pPr>
              <w:spacing w:before="40" w:after="40" w:line="240" w:lineRule="auto"/>
            </w:pPr>
            <w:r>
              <w:fldChar w:fldCharType="begin"/>
            </w:r>
            <w:r>
              <w:instrText xml:space="preserve"> HYPERLINK "https://guides.dss.gov.au/social-security-guide/9/2" \h </w:instrText>
            </w:r>
            <w:r>
              <w:fldChar w:fldCharType="separate"/>
            </w:r>
            <w:r>
              <w:rPr>
                <w:rFonts w:ascii="Calibri" w:hAnsi="Calibri"/>
                <w:color w:val="0066CC"/>
                <w:sz w:val="19"/>
                <w:u w:val="single"/>
              </w:rPr>
              <w:t>https://guides.dss.gov.au/social-security-guide/9/2</w:t>
            </w:r>
            <w:r>
              <w:rPr>
                <w:rFonts w:ascii="Calibri" w:hAnsi="Calibri"/>
                <w:color w:val="0066CC"/>
                <w:sz w:val="19"/>
                <w:u w:val="single"/>
              </w:rPr>
              <w:fldChar w:fldCharType="end"/>
            </w:r>
          </w:p>
        </w:tc>
      </w:tr>
    </w:tbl>
    <w:p w14:paraId="09CD0531">
      <w:r>
        <w:br w:type="page"/>
      </w:r>
    </w:p>
    <w:p w14:paraId="105AF9FA">
      <w:pPr>
        <w:pStyle w:val="2"/>
      </w:pPr>
      <w:r>
        <w:rPr>
          <w:color w:val="002B49"/>
        </w:rPr>
        <w:t>HOW SERVICES CONNECT – Quick Glance</w:t>
      </w:r>
    </w:p>
    <w:p w14:paraId="1C98D8D7">
      <w:pPr>
        <w:spacing w:before="0" w:after="120"/>
      </w:pPr>
      <w:r>
        <w:rPr>
          <w:b w:val="0"/>
          <w:i w:val="0"/>
          <w:sz w:val="21"/>
        </w:rPr>
        <w:t>The table below summarises the main services available in the Brisbane South East region and how providers can connect an individual to the right support. Verification of current provider details before referral is recommended.</w:t>
      </w:r>
    </w:p>
    <w:tbl>
      <w:tblPr>
        <w:tblStyle w:val="35"/>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0" w:type="dxa"/>
          <w:left w:w="80" w:type="dxa"/>
          <w:bottom w:w="40" w:type="dxa"/>
          <w:right w:w="80" w:type="dxa"/>
        </w:tblCellMar>
      </w:tblPr>
      <w:tblGrid>
        <w:gridCol w:w="3213"/>
        <w:gridCol w:w="3213"/>
        <w:gridCol w:w="3213"/>
      </w:tblGrid>
      <w:tr w14:paraId="326A3F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40" w:type="dxa"/>
            <w:left w:w="80" w:type="dxa"/>
            <w:bottom w:w="40" w:type="dxa"/>
            <w:right w:w="80" w:type="dxa"/>
          </w:tblCellMar>
        </w:tblPrEx>
        <w:trPr>
          <w:tblHeader/>
          <w:jc w:val="center"/>
        </w:trPr>
        <w:tc>
          <w:tcPr>
            <w:tcW w:w="2948" w:type="dxa"/>
            <w:shd w:val="clear" w:color="auto" w:fill="002B49"/>
          </w:tcPr>
          <w:p w14:paraId="66DEB5E7">
            <w:pPr>
              <w:spacing w:before="40" w:after="40" w:line="240" w:lineRule="auto"/>
            </w:pPr>
            <w:r>
              <w:rPr>
                <w:b/>
                <w:color w:val="FFFFFF"/>
                <w:sz w:val="19"/>
              </w:rPr>
              <w:t>Situation / client need</w:t>
            </w:r>
          </w:p>
        </w:tc>
        <w:tc>
          <w:tcPr>
            <w:tcW w:w="2494" w:type="dxa"/>
            <w:shd w:val="clear" w:color="auto" w:fill="002B49"/>
          </w:tcPr>
          <w:p w14:paraId="06F35454">
            <w:pPr>
              <w:spacing w:before="40" w:after="40" w:line="240" w:lineRule="auto"/>
            </w:pPr>
            <w:r>
              <w:rPr>
                <w:b/>
                <w:color w:val="FFFFFF"/>
                <w:sz w:val="19"/>
              </w:rPr>
              <w:t>Program(s)</w:t>
            </w:r>
          </w:p>
        </w:tc>
        <w:tc>
          <w:tcPr>
            <w:tcW w:w="4422" w:type="dxa"/>
            <w:shd w:val="clear" w:color="auto" w:fill="002B49"/>
          </w:tcPr>
          <w:p w14:paraId="5ABC1A05">
            <w:pPr>
              <w:spacing w:before="40" w:after="40" w:line="240" w:lineRule="auto"/>
            </w:pPr>
            <w:r>
              <w:rPr>
                <w:b/>
                <w:color w:val="FFFFFF"/>
                <w:sz w:val="19"/>
              </w:rPr>
              <w:t>Primary regional entry point(s)</w:t>
            </w:r>
          </w:p>
        </w:tc>
      </w:tr>
      <w:tr w14:paraId="67A7D1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40" w:type="dxa"/>
            <w:left w:w="80" w:type="dxa"/>
            <w:bottom w:w="40" w:type="dxa"/>
            <w:right w:w="80" w:type="dxa"/>
          </w:tblCellMar>
        </w:tblPrEx>
        <w:trPr>
          <w:jc w:val="center"/>
        </w:trPr>
        <w:tc>
          <w:tcPr>
            <w:tcW w:w="2948" w:type="dxa"/>
            <w:shd w:val="clear" w:color="auto" w:fill="F5F9FC"/>
          </w:tcPr>
          <w:p w14:paraId="54A33CBB">
            <w:pPr>
              <w:spacing w:before="40" w:after="40" w:line="240" w:lineRule="auto"/>
            </w:pPr>
            <w:r>
              <w:rPr>
                <w:sz w:val="19"/>
              </w:rPr>
              <w:t>Newly arrived humanitarian entrant (arrival + first months)</w:t>
            </w:r>
          </w:p>
        </w:tc>
        <w:tc>
          <w:tcPr>
            <w:tcW w:w="2494" w:type="dxa"/>
          </w:tcPr>
          <w:p w14:paraId="6E99B480">
            <w:pPr>
              <w:spacing w:before="40" w:after="40" w:line="240" w:lineRule="auto"/>
            </w:pPr>
            <w:r>
              <w:rPr>
                <w:sz w:val="19"/>
              </w:rPr>
              <w:t>HSP (including SIS for complex needs)</w:t>
            </w:r>
          </w:p>
        </w:tc>
        <w:tc>
          <w:tcPr>
            <w:tcW w:w="4422" w:type="dxa"/>
          </w:tcPr>
          <w:p w14:paraId="40C69EFC">
            <w:pPr>
              <w:spacing w:before="40" w:after="40" w:line="240" w:lineRule="auto"/>
            </w:pPr>
            <w:r>
              <w:rPr>
                <w:sz w:val="19"/>
              </w:rPr>
              <w:t>Multicultural Australia — HSP (Woolloongabba; Logan office); automatic referral by Home Affairs</w:t>
            </w:r>
          </w:p>
        </w:tc>
      </w:tr>
      <w:tr w14:paraId="7AFC55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40" w:type="dxa"/>
            <w:left w:w="80" w:type="dxa"/>
            <w:bottom w:w="40" w:type="dxa"/>
            <w:right w:w="80" w:type="dxa"/>
          </w:tblCellMar>
        </w:tblPrEx>
        <w:trPr>
          <w:jc w:val="center"/>
        </w:trPr>
        <w:tc>
          <w:tcPr>
            <w:tcW w:w="2948" w:type="dxa"/>
            <w:shd w:val="clear" w:color="auto" w:fill="F5F9FC"/>
          </w:tcPr>
          <w:p w14:paraId="5DD00872">
            <w:pPr>
              <w:spacing w:before="40" w:after="40" w:line="240" w:lineRule="auto"/>
            </w:pPr>
            <w:r>
              <w:rPr>
                <w:sz w:val="19"/>
              </w:rPr>
              <w:t>Post-HSP settlement support, case management, information and advocacy</w:t>
            </w:r>
          </w:p>
        </w:tc>
        <w:tc>
          <w:tcPr>
            <w:tcW w:w="2494" w:type="dxa"/>
          </w:tcPr>
          <w:p w14:paraId="14AFBC1E">
            <w:pPr>
              <w:spacing w:before="40" w:after="40" w:line="240" w:lineRule="auto"/>
            </w:pPr>
            <w:r>
              <w:rPr>
                <w:sz w:val="19"/>
              </w:rPr>
              <w:t>SETS</w:t>
            </w:r>
          </w:p>
        </w:tc>
        <w:tc>
          <w:tcPr>
            <w:tcW w:w="4422" w:type="dxa"/>
          </w:tcPr>
          <w:p w14:paraId="3465C3CD">
            <w:pPr>
              <w:spacing w:before="40" w:after="40" w:line="240" w:lineRule="auto"/>
            </w:pPr>
            <w:r>
              <w:rPr>
                <w:sz w:val="19"/>
              </w:rPr>
              <w:t>Multicultural Australia, MultiLink, SSI, IWAA, Accoras, QPASTT (trauma), MCC Brisbane, RAILS (family reunion legal)</w:t>
            </w:r>
          </w:p>
        </w:tc>
      </w:tr>
      <w:tr w14:paraId="1B7520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40" w:type="dxa"/>
            <w:left w:w="80" w:type="dxa"/>
            <w:bottom w:w="40" w:type="dxa"/>
            <w:right w:w="80" w:type="dxa"/>
          </w:tblCellMar>
        </w:tblPrEx>
        <w:trPr>
          <w:jc w:val="center"/>
        </w:trPr>
        <w:tc>
          <w:tcPr>
            <w:tcW w:w="2948" w:type="dxa"/>
            <w:shd w:val="clear" w:color="auto" w:fill="F5F9FC"/>
          </w:tcPr>
          <w:p w14:paraId="7EF351CE">
            <w:pPr>
              <w:spacing w:before="40" w:after="40" w:line="240" w:lineRule="auto"/>
            </w:pPr>
            <w:r>
              <w:rPr>
                <w:sz w:val="19"/>
              </w:rPr>
              <w:t>English language tuition (low English)</w:t>
            </w:r>
          </w:p>
        </w:tc>
        <w:tc>
          <w:tcPr>
            <w:tcW w:w="2494" w:type="dxa"/>
          </w:tcPr>
          <w:p w14:paraId="6452A88D">
            <w:pPr>
              <w:spacing w:before="40" w:after="40" w:line="240" w:lineRule="auto"/>
            </w:pPr>
            <w:r>
              <w:rPr>
                <w:sz w:val="19"/>
              </w:rPr>
              <w:t>AMEP</w:t>
            </w:r>
          </w:p>
        </w:tc>
        <w:tc>
          <w:tcPr>
            <w:tcW w:w="4422" w:type="dxa"/>
          </w:tcPr>
          <w:p w14:paraId="28710AAD">
            <w:pPr>
              <w:spacing w:before="40" w:after="40" w:line="240" w:lineRule="auto"/>
            </w:pPr>
            <w:r>
              <w:rPr>
                <w:sz w:val="19"/>
              </w:rPr>
              <w:t>TAFE Queensland (Mount Gravatt, Loganlea), MAX Solutions, STEPS Group; AMEP Distance Learning</w:t>
            </w:r>
          </w:p>
        </w:tc>
      </w:tr>
      <w:tr w14:paraId="49CDBF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40" w:type="dxa"/>
            <w:left w:w="80" w:type="dxa"/>
            <w:bottom w:w="40" w:type="dxa"/>
            <w:right w:w="80" w:type="dxa"/>
          </w:tblCellMar>
        </w:tblPrEx>
        <w:trPr>
          <w:jc w:val="center"/>
        </w:trPr>
        <w:tc>
          <w:tcPr>
            <w:tcW w:w="2948" w:type="dxa"/>
            <w:shd w:val="clear" w:color="auto" w:fill="F5F9FC"/>
          </w:tcPr>
          <w:p w14:paraId="3A2602D7">
            <w:pPr>
              <w:spacing w:before="40" w:after="40" w:line="240" w:lineRule="auto"/>
            </w:pPr>
            <w:r>
              <w:rPr>
                <w:sz w:val="19"/>
              </w:rPr>
              <w:t>Language, literacy, numeracy and digital skills for work/study</w:t>
            </w:r>
          </w:p>
        </w:tc>
        <w:tc>
          <w:tcPr>
            <w:tcW w:w="2494" w:type="dxa"/>
          </w:tcPr>
          <w:p w14:paraId="7993B8C7">
            <w:pPr>
              <w:spacing w:before="40" w:after="40" w:line="240" w:lineRule="auto"/>
            </w:pPr>
            <w:r>
              <w:rPr>
                <w:sz w:val="19"/>
              </w:rPr>
              <w:t>SEE</w:t>
            </w:r>
          </w:p>
        </w:tc>
        <w:tc>
          <w:tcPr>
            <w:tcW w:w="4422" w:type="dxa"/>
          </w:tcPr>
          <w:p w14:paraId="608058BC">
            <w:pPr>
              <w:spacing w:before="40" w:after="40" w:line="240" w:lineRule="auto"/>
            </w:pPr>
            <w:r>
              <w:rPr>
                <w:sz w:val="19"/>
              </w:rPr>
              <w:t>TAFE Queensland, MAX Solutions, ETC</w:t>
            </w:r>
          </w:p>
        </w:tc>
      </w:tr>
      <w:tr w14:paraId="636D24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40" w:type="dxa"/>
            <w:left w:w="80" w:type="dxa"/>
            <w:bottom w:w="40" w:type="dxa"/>
            <w:right w:w="80" w:type="dxa"/>
          </w:tblCellMar>
        </w:tblPrEx>
        <w:trPr>
          <w:jc w:val="center"/>
        </w:trPr>
        <w:tc>
          <w:tcPr>
            <w:tcW w:w="2948" w:type="dxa"/>
            <w:shd w:val="clear" w:color="auto" w:fill="F5F9FC"/>
          </w:tcPr>
          <w:p w14:paraId="1FCD73FB">
            <w:pPr>
              <w:spacing w:before="40" w:after="40" w:line="240" w:lineRule="auto"/>
            </w:pPr>
            <w:r>
              <w:rPr>
                <w:sz w:val="19"/>
              </w:rPr>
              <w:t>Jobseeker receiving income support / job-ready</w:t>
            </w:r>
          </w:p>
        </w:tc>
        <w:tc>
          <w:tcPr>
            <w:tcW w:w="2494" w:type="dxa"/>
          </w:tcPr>
          <w:p w14:paraId="3A2A0FC3">
            <w:pPr>
              <w:spacing w:before="40" w:after="40" w:line="240" w:lineRule="auto"/>
            </w:pPr>
            <w:r>
              <w:rPr>
                <w:sz w:val="19"/>
              </w:rPr>
              <w:t>Workforce Australia Online</w:t>
            </w:r>
          </w:p>
        </w:tc>
        <w:tc>
          <w:tcPr>
            <w:tcW w:w="4422" w:type="dxa"/>
          </w:tcPr>
          <w:p w14:paraId="6B1FA95D">
            <w:pPr>
              <w:spacing w:before="40" w:after="40" w:line="240" w:lineRule="auto"/>
            </w:pPr>
            <w:r>
              <w:rPr>
                <w:sz w:val="19"/>
              </w:rPr>
              <w:t>Register online at workforceaustralia.gov.au</w:t>
            </w:r>
          </w:p>
        </w:tc>
      </w:tr>
      <w:tr w14:paraId="712DD0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40" w:type="dxa"/>
            <w:left w:w="80" w:type="dxa"/>
            <w:bottom w:w="40" w:type="dxa"/>
            <w:right w:w="80" w:type="dxa"/>
          </w:tblCellMar>
        </w:tblPrEx>
        <w:trPr>
          <w:jc w:val="center"/>
        </w:trPr>
        <w:tc>
          <w:tcPr>
            <w:tcW w:w="2948" w:type="dxa"/>
            <w:shd w:val="clear" w:color="auto" w:fill="F5F9FC"/>
          </w:tcPr>
          <w:p w14:paraId="22282CD7">
            <w:pPr>
              <w:spacing w:before="40" w:after="40" w:line="240" w:lineRule="auto"/>
            </w:pPr>
            <w:r>
              <w:rPr>
                <w:sz w:val="19"/>
              </w:rPr>
              <w:t>Jobseeker needing provider support</w:t>
            </w:r>
          </w:p>
        </w:tc>
        <w:tc>
          <w:tcPr>
            <w:tcW w:w="2494" w:type="dxa"/>
          </w:tcPr>
          <w:p w14:paraId="1EFAFCC8">
            <w:pPr>
              <w:spacing w:before="40" w:after="40" w:line="240" w:lineRule="auto"/>
            </w:pPr>
            <w:r>
              <w:rPr>
                <w:sz w:val="19"/>
              </w:rPr>
              <w:t>Workforce Australia Employment Services</w:t>
            </w:r>
          </w:p>
        </w:tc>
        <w:tc>
          <w:tcPr>
            <w:tcW w:w="4422" w:type="dxa"/>
          </w:tcPr>
          <w:p w14:paraId="640E907A">
            <w:pPr>
              <w:spacing w:before="40" w:after="40" w:line="240" w:lineRule="auto"/>
            </w:pPr>
            <w:r>
              <w:rPr>
                <w:sz w:val="19"/>
              </w:rPr>
              <w:t>WES.jobs, Workways, CoAct/BUSY, APM, atWork Australia, WISE</w:t>
            </w:r>
          </w:p>
        </w:tc>
      </w:tr>
      <w:tr w14:paraId="1B6C0D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40" w:type="dxa"/>
            <w:left w:w="80" w:type="dxa"/>
            <w:bottom w:w="40" w:type="dxa"/>
            <w:right w:w="80" w:type="dxa"/>
          </w:tblCellMar>
        </w:tblPrEx>
        <w:trPr>
          <w:jc w:val="center"/>
        </w:trPr>
        <w:tc>
          <w:tcPr>
            <w:tcW w:w="2948" w:type="dxa"/>
            <w:shd w:val="clear" w:color="auto" w:fill="F5F9FC"/>
          </w:tcPr>
          <w:p w14:paraId="2CB38F36">
            <w:pPr>
              <w:spacing w:before="40" w:after="40" w:line="240" w:lineRule="auto"/>
            </w:pPr>
            <w:r>
              <w:rPr>
                <w:sz w:val="19"/>
              </w:rPr>
              <w:t>Young person 15–24 (employment/education)</w:t>
            </w:r>
          </w:p>
        </w:tc>
        <w:tc>
          <w:tcPr>
            <w:tcW w:w="2494" w:type="dxa"/>
          </w:tcPr>
          <w:p w14:paraId="1D5E1B61">
            <w:pPr>
              <w:spacing w:before="40" w:after="40" w:line="240" w:lineRule="auto"/>
            </w:pPr>
            <w:r>
              <w:rPr>
                <w:sz w:val="19"/>
              </w:rPr>
              <w:t>Transition to Work; YTS; SQW Youth</w:t>
            </w:r>
          </w:p>
        </w:tc>
        <w:tc>
          <w:tcPr>
            <w:tcW w:w="4422" w:type="dxa"/>
          </w:tcPr>
          <w:p w14:paraId="7363B9C0">
            <w:pPr>
              <w:spacing w:before="40" w:after="40" w:line="240" w:lineRule="auto"/>
            </w:pPr>
            <w:r>
              <w:rPr>
                <w:sz w:val="19"/>
              </w:rPr>
              <w:t>yourtown, BUSY At Work, APM; Multicultural Australia/SSI (YTS); PCYC, MTC, Community Solutions (SQW)</w:t>
            </w:r>
          </w:p>
        </w:tc>
      </w:tr>
      <w:tr w14:paraId="69536D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40" w:type="dxa"/>
            <w:left w:w="80" w:type="dxa"/>
            <w:bottom w:w="40" w:type="dxa"/>
            <w:right w:w="80" w:type="dxa"/>
          </w:tblCellMar>
        </w:tblPrEx>
        <w:trPr>
          <w:jc w:val="center"/>
        </w:trPr>
        <w:tc>
          <w:tcPr>
            <w:tcW w:w="2948" w:type="dxa"/>
            <w:shd w:val="clear" w:color="auto" w:fill="F5F9FC"/>
          </w:tcPr>
          <w:p w14:paraId="63A84D29">
            <w:pPr>
              <w:spacing w:before="40" w:after="40" w:line="240" w:lineRule="auto"/>
            </w:pPr>
            <w:r>
              <w:rPr>
                <w:sz w:val="19"/>
              </w:rPr>
              <w:t>Parent/carer of child under 6</w:t>
            </w:r>
          </w:p>
        </w:tc>
        <w:tc>
          <w:tcPr>
            <w:tcW w:w="2494" w:type="dxa"/>
          </w:tcPr>
          <w:p w14:paraId="6EB176E1">
            <w:pPr>
              <w:spacing w:before="40" w:after="40" w:line="240" w:lineRule="auto"/>
            </w:pPr>
            <w:r>
              <w:rPr>
                <w:sz w:val="19"/>
              </w:rPr>
              <w:t>Parent Pathways</w:t>
            </w:r>
          </w:p>
        </w:tc>
        <w:tc>
          <w:tcPr>
            <w:tcW w:w="4422" w:type="dxa"/>
          </w:tcPr>
          <w:p w14:paraId="48161919">
            <w:pPr>
              <w:spacing w:before="40" w:after="40" w:line="240" w:lineRule="auto"/>
            </w:pPr>
            <w:r>
              <w:rPr>
                <w:sz w:val="19"/>
              </w:rPr>
              <w:t>YFS, ETC, Sarina Russo</w:t>
            </w:r>
          </w:p>
        </w:tc>
      </w:tr>
      <w:tr w14:paraId="33D91A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40" w:type="dxa"/>
            <w:left w:w="80" w:type="dxa"/>
            <w:bottom w:w="40" w:type="dxa"/>
            <w:right w:w="80" w:type="dxa"/>
          </w:tblCellMar>
        </w:tblPrEx>
        <w:trPr>
          <w:jc w:val="center"/>
        </w:trPr>
        <w:tc>
          <w:tcPr>
            <w:tcW w:w="2948" w:type="dxa"/>
            <w:shd w:val="clear" w:color="auto" w:fill="F5F9FC"/>
          </w:tcPr>
          <w:p w14:paraId="77BC70C1">
            <w:pPr>
              <w:spacing w:before="40" w:after="40" w:line="240" w:lineRule="auto"/>
            </w:pPr>
            <w:r>
              <w:rPr>
                <w:sz w:val="19"/>
              </w:rPr>
              <w:t>Person with disability, injury or health condition</w:t>
            </w:r>
          </w:p>
        </w:tc>
        <w:tc>
          <w:tcPr>
            <w:tcW w:w="2494" w:type="dxa"/>
          </w:tcPr>
          <w:p w14:paraId="46DC329C">
            <w:pPr>
              <w:spacing w:before="40" w:after="40" w:line="240" w:lineRule="auto"/>
            </w:pPr>
            <w:r>
              <w:rPr>
                <w:sz w:val="19"/>
              </w:rPr>
              <w:t>Inclusive Employment Australia (IEA)</w:t>
            </w:r>
          </w:p>
        </w:tc>
        <w:tc>
          <w:tcPr>
            <w:tcW w:w="4422" w:type="dxa"/>
          </w:tcPr>
          <w:p w14:paraId="4682B0C9">
            <w:pPr>
              <w:spacing w:before="40" w:after="40" w:line="240" w:lineRule="auto"/>
            </w:pPr>
            <w:r>
              <w:rPr>
                <w:sz w:val="19"/>
              </w:rPr>
              <w:t>Endeavour Foundation, Breakthru, HELP, APM, atWork, SSI IEA</w:t>
            </w:r>
          </w:p>
        </w:tc>
      </w:tr>
      <w:tr w14:paraId="7900B3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40" w:type="dxa"/>
            <w:left w:w="80" w:type="dxa"/>
            <w:bottom w:w="40" w:type="dxa"/>
            <w:right w:w="80" w:type="dxa"/>
          </w:tblCellMar>
        </w:tblPrEx>
        <w:trPr>
          <w:jc w:val="center"/>
        </w:trPr>
        <w:tc>
          <w:tcPr>
            <w:tcW w:w="2948" w:type="dxa"/>
            <w:shd w:val="clear" w:color="auto" w:fill="F5F9FC"/>
          </w:tcPr>
          <w:p w14:paraId="7BDFAFAA">
            <w:pPr>
              <w:spacing w:before="40" w:after="40" w:line="240" w:lineRule="auto"/>
            </w:pPr>
            <w:r>
              <w:rPr>
                <w:sz w:val="19"/>
              </w:rPr>
              <w:t>Starting or adapting a small business</w:t>
            </w:r>
          </w:p>
        </w:tc>
        <w:tc>
          <w:tcPr>
            <w:tcW w:w="2494" w:type="dxa"/>
          </w:tcPr>
          <w:p w14:paraId="4685AF99">
            <w:pPr>
              <w:spacing w:before="40" w:after="40" w:line="240" w:lineRule="auto"/>
            </w:pPr>
            <w:r>
              <w:rPr>
                <w:sz w:val="19"/>
              </w:rPr>
              <w:t>Self-Employment Assistance (SEA)</w:t>
            </w:r>
          </w:p>
        </w:tc>
        <w:tc>
          <w:tcPr>
            <w:tcW w:w="4422" w:type="dxa"/>
          </w:tcPr>
          <w:p w14:paraId="7A5513D7">
            <w:pPr>
              <w:spacing w:before="40" w:after="40" w:line="240" w:lineRule="auto"/>
            </w:pPr>
            <w:r>
              <w:rPr>
                <w:sz w:val="19"/>
              </w:rPr>
              <w:t>BUSY Business, APM, Asuria</w:t>
            </w:r>
          </w:p>
        </w:tc>
      </w:tr>
      <w:tr w14:paraId="7965E3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40" w:type="dxa"/>
            <w:left w:w="80" w:type="dxa"/>
            <w:bottom w:w="40" w:type="dxa"/>
            <w:right w:w="80" w:type="dxa"/>
          </w:tblCellMar>
        </w:tblPrEx>
        <w:trPr>
          <w:jc w:val="center"/>
        </w:trPr>
        <w:tc>
          <w:tcPr>
            <w:tcW w:w="2948" w:type="dxa"/>
            <w:shd w:val="clear" w:color="auto" w:fill="F5F9FC"/>
          </w:tcPr>
          <w:p w14:paraId="62C260D3">
            <w:pPr>
              <w:spacing w:before="40" w:after="40" w:line="240" w:lineRule="auto"/>
            </w:pPr>
            <w:r>
              <w:rPr>
                <w:sz w:val="19"/>
              </w:rPr>
              <w:t>Refugee with low skills/low English seeking employment pathways</w:t>
            </w:r>
          </w:p>
        </w:tc>
        <w:tc>
          <w:tcPr>
            <w:tcW w:w="2494" w:type="dxa"/>
          </w:tcPr>
          <w:p w14:paraId="6A47D217">
            <w:pPr>
              <w:spacing w:before="40" w:after="40" w:line="240" w:lineRule="auto"/>
            </w:pPr>
            <w:r>
              <w:rPr>
                <w:sz w:val="19"/>
              </w:rPr>
              <w:t>EPRI</w:t>
            </w:r>
          </w:p>
        </w:tc>
        <w:tc>
          <w:tcPr>
            <w:tcW w:w="4422" w:type="dxa"/>
          </w:tcPr>
          <w:p w14:paraId="05A30A43">
            <w:pPr>
              <w:spacing w:before="40" w:after="40" w:line="240" w:lineRule="auto"/>
            </w:pPr>
            <w:r>
              <w:rPr>
                <w:sz w:val="19"/>
              </w:rPr>
              <w:t>Civik People, Community Corporate, NCEC, Thrive Refugee Enterprise (Brisbane South East service areas)</w:t>
            </w:r>
          </w:p>
        </w:tc>
      </w:tr>
      <w:tr w14:paraId="232FAE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40" w:type="dxa"/>
            <w:left w:w="80" w:type="dxa"/>
            <w:bottom w:w="40" w:type="dxa"/>
            <w:right w:w="80" w:type="dxa"/>
          </w:tblCellMar>
        </w:tblPrEx>
        <w:trPr>
          <w:jc w:val="center"/>
        </w:trPr>
        <w:tc>
          <w:tcPr>
            <w:tcW w:w="2948" w:type="dxa"/>
            <w:shd w:val="clear" w:color="auto" w:fill="F5F9FC"/>
          </w:tcPr>
          <w:p w14:paraId="3EDD085E">
            <w:pPr>
              <w:spacing w:before="40" w:after="40" w:line="240" w:lineRule="auto"/>
            </w:pPr>
            <w:r>
              <w:rPr>
                <w:sz w:val="19"/>
              </w:rPr>
              <w:t>Migrant/refugee seeking jobs; overseas-qualified professionals</w:t>
            </w:r>
          </w:p>
        </w:tc>
        <w:tc>
          <w:tcPr>
            <w:tcW w:w="2494" w:type="dxa"/>
          </w:tcPr>
          <w:p w14:paraId="2BC69BF6">
            <w:pPr>
              <w:spacing w:before="40" w:after="40" w:line="240" w:lineRule="auto"/>
            </w:pPr>
            <w:r>
              <w:rPr>
                <w:sz w:val="19"/>
              </w:rPr>
              <w:t>DQW; OQU; BASE; WESP</w:t>
            </w:r>
          </w:p>
        </w:tc>
        <w:tc>
          <w:tcPr>
            <w:tcW w:w="4422" w:type="dxa"/>
          </w:tcPr>
          <w:p w14:paraId="325FD783">
            <w:pPr>
              <w:spacing w:before="40" w:after="40" w:line="240" w:lineRule="auto"/>
            </w:pPr>
            <w:r>
              <w:rPr>
                <w:sz w:val="19"/>
              </w:rPr>
              <w:t>Multicultural Australia, MultiLink, MCC Brisbane; QLD OQU; ECCQ; SSI</w:t>
            </w:r>
          </w:p>
        </w:tc>
      </w:tr>
      <w:tr w14:paraId="14774E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40" w:type="dxa"/>
            <w:left w:w="80" w:type="dxa"/>
            <w:bottom w:w="40" w:type="dxa"/>
            <w:right w:w="80" w:type="dxa"/>
          </w:tblCellMar>
        </w:tblPrEx>
        <w:trPr>
          <w:jc w:val="center"/>
        </w:trPr>
        <w:tc>
          <w:tcPr>
            <w:tcW w:w="2948" w:type="dxa"/>
            <w:shd w:val="clear" w:color="auto" w:fill="F5F9FC"/>
          </w:tcPr>
          <w:p w14:paraId="13995A89">
            <w:pPr>
              <w:spacing w:before="40" w:after="40" w:line="240" w:lineRule="auto"/>
            </w:pPr>
            <w:r>
              <w:rPr>
                <w:sz w:val="19"/>
              </w:rPr>
              <w:t>Young people needing housing, family or wellbeing support</w:t>
            </w:r>
          </w:p>
        </w:tc>
        <w:tc>
          <w:tcPr>
            <w:tcW w:w="2494" w:type="dxa"/>
          </w:tcPr>
          <w:p w14:paraId="339F0034">
            <w:pPr>
              <w:spacing w:before="40" w:after="40" w:line="240" w:lineRule="auto"/>
            </w:pPr>
            <w:r>
              <w:rPr>
                <w:sz w:val="19"/>
              </w:rPr>
              <w:t>Youth and family services</w:t>
            </w:r>
          </w:p>
        </w:tc>
        <w:tc>
          <w:tcPr>
            <w:tcW w:w="4422" w:type="dxa"/>
          </w:tcPr>
          <w:p w14:paraId="3D05901B">
            <w:pPr>
              <w:spacing w:before="40" w:after="40" w:line="240" w:lineRule="auto"/>
            </w:pPr>
            <w:r>
              <w:rPr>
                <w:sz w:val="19"/>
              </w:rPr>
              <w:t>YFS, BABI, Anglicare SQ, Brisbane Youth Service</w:t>
            </w:r>
          </w:p>
        </w:tc>
      </w:tr>
      <w:tr w14:paraId="725789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40" w:type="dxa"/>
            <w:left w:w="80" w:type="dxa"/>
            <w:bottom w:w="40" w:type="dxa"/>
            <w:right w:w="80" w:type="dxa"/>
          </w:tblCellMar>
        </w:tblPrEx>
        <w:trPr>
          <w:jc w:val="center"/>
        </w:trPr>
        <w:tc>
          <w:tcPr>
            <w:tcW w:w="2948" w:type="dxa"/>
            <w:shd w:val="clear" w:color="auto" w:fill="F5F9FC"/>
          </w:tcPr>
          <w:p w14:paraId="4A80BF56">
            <w:pPr>
              <w:spacing w:before="40" w:after="40" w:line="240" w:lineRule="auto"/>
            </w:pPr>
            <w:r>
              <w:rPr>
                <w:sz w:val="19"/>
              </w:rPr>
              <w:t>Community inclusion, connection and capacity building</w:t>
            </w:r>
          </w:p>
        </w:tc>
        <w:tc>
          <w:tcPr>
            <w:tcW w:w="2494" w:type="dxa"/>
          </w:tcPr>
          <w:p w14:paraId="62B205E5">
            <w:pPr>
              <w:spacing w:before="40" w:after="40" w:line="240" w:lineRule="auto"/>
            </w:pPr>
            <w:r>
              <w:rPr>
                <w:sz w:val="19"/>
              </w:rPr>
              <w:t>CAMS; Community Hubs; SETS community capacity building</w:t>
            </w:r>
          </w:p>
        </w:tc>
        <w:tc>
          <w:tcPr>
            <w:tcW w:w="4422" w:type="dxa"/>
          </w:tcPr>
          <w:p w14:paraId="55E04784">
            <w:pPr>
              <w:spacing w:before="40" w:after="40" w:line="240" w:lineRule="auto"/>
            </w:pPr>
            <w:r>
              <w:rPr>
                <w:sz w:val="19"/>
              </w:rPr>
              <w:t>IWAA, SSI/ACCESS, MultiLink; Community Hubs Australia and Logan school hubs</w:t>
            </w:r>
          </w:p>
        </w:tc>
      </w:tr>
      <w:tr w14:paraId="6A0F02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40" w:type="dxa"/>
            <w:left w:w="80" w:type="dxa"/>
            <w:bottom w:w="40" w:type="dxa"/>
            <w:right w:w="80" w:type="dxa"/>
          </w:tblCellMar>
        </w:tblPrEx>
        <w:trPr>
          <w:jc w:val="center"/>
        </w:trPr>
        <w:tc>
          <w:tcPr>
            <w:tcW w:w="2948" w:type="dxa"/>
            <w:shd w:val="clear" w:color="auto" w:fill="F5F9FC"/>
          </w:tcPr>
          <w:p w14:paraId="18C47708">
            <w:pPr>
              <w:spacing w:before="40" w:after="40" w:line="240" w:lineRule="auto"/>
            </w:pPr>
            <w:r>
              <w:rPr>
                <w:sz w:val="19"/>
              </w:rPr>
              <w:t>Government payments, Medicare, myGov and complex cases</w:t>
            </w:r>
          </w:p>
        </w:tc>
        <w:tc>
          <w:tcPr>
            <w:tcW w:w="2494" w:type="dxa"/>
          </w:tcPr>
          <w:p w14:paraId="6738DD9C">
            <w:pPr>
              <w:spacing w:before="40" w:after="40" w:line="240" w:lineRule="auto"/>
            </w:pPr>
            <w:r>
              <w:rPr>
                <w:sz w:val="19"/>
              </w:rPr>
              <w:t>Services Australia (Multicultural Service Officers)</w:t>
            </w:r>
          </w:p>
        </w:tc>
        <w:tc>
          <w:tcPr>
            <w:tcW w:w="4422" w:type="dxa"/>
          </w:tcPr>
          <w:p w14:paraId="19FFA484">
            <w:pPr>
              <w:spacing w:before="40" w:after="40" w:line="240" w:lineRule="auto"/>
            </w:pPr>
            <w:r>
              <w:rPr>
                <w:sz w:val="19"/>
              </w:rPr>
              <w:t>Stones Corner Service Centre; Qld.mso@servicesaustralia.gov.au</w:t>
            </w:r>
          </w:p>
        </w:tc>
      </w:tr>
      <w:tr w14:paraId="30EAD3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40" w:type="dxa"/>
            <w:left w:w="80" w:type="dxa"/>
            <w:bottom w:w="40" w:type="dxa"/>
            <w:right w:w="80" w:type="dxa"/>
          </w:tblCellMar>
        </w:tblPrEx>
        <w:trPr>
          <w:jc w:val="center"/>
        </w:trPr>
        <w:tc>
          <w:tcPr>
            <w:tcW w:w="2948" w:type="dxa"/>
            <w:shd w:val="clear" w:color="auto" w:fill="F5F9FC"/>
          </w:tcPr>
          <w:p w14:paraId="2864D19D">
            <w:pPr>
              <w:spacing w:before="40" w:after="40" w:line="240" w:lineRule="auto"/>
            </w:pPr>
            <w:r>
              <w:rPr>
                <w:sz w:val="19"/>
              </w:rPr>
              <w:t>Interpreter needed</w:t>
            </w:r>
          </w:p>
        </w:tc>
        <w:tc>
          <w:tcPr>
            <w:tcW w:w="2494" w:type="dxa"/>
          </w:tcPr>
          <w:p w14:paraId="5E70CB22">
            <w:pPr>
              <w:spacing w:before="40" w:after="40" w:line="240" w:lineRule="auto"/>
            </w:pPr>
            <w:r>
              <w:rPr>
                <w:sz w:val="19"/>
              </w:rPr>
              <w:t>TIS National</w:t>
            </w:r>
          </w:p>
        </w:tc>
        <w:tc>
          <w:tcPr>
            <w:tcW w:w="4422" w:type="dxa"/>
          </w:tcPr>
          <w:p w14:paraId="7EC49E3C">
            <w:pPr>
              <w:spacing w:before="40" w:after="40" w:line="240" w:lineRule="auto"/>
            </w:pPr>
            <w:r>
              <w:rPr>
                <w:sz w:val="19"/>
              </w:rPr>
              <w:t>Call 131 450</w:t>
            </w:r>
          </w:p>
        </w:tc>
      </w:tr>
      <w:tr w14:paraId="3F0500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40" w:type="dxa"/>
            <w:left w:w="80" w:type="dxa"/>
            <w:bottom w:w="40" w:type="dxa"/>
            <w:right w:w="80" w:type="dxa"/>
          </w:tblCellMar>
        </w:tblPrEx>
        <w:trPr>
          <w:jc w:val="center"/>
        </w:trPr>
        <w:tc>
          <w:tcPr>
            <w:tcW w:w="2948" w:type="dxa"/>
            <w:shd w:val="clear" w:color="auto" w:fill="F5F9FC"/>
          </w:tcPr>
          <w:p w14:paraId="04C8622C">
            <w:pPr>
              <w:spacing w:before="40" w:after="40" w:line="240" w:lineRule="auto"/>
            </w:pPr>
            <w:r>
              <w:rPr>
                <w:sz w:val="19"/>
              </w:rPr>
              <w:t>Document translation (permanent settlers)</w:t>
            </w:r>
          </w:p>
        </w:tc>
        <w:tc>
          <w:tcPr>
            <w:tcW w:w="2494" w:type="dxa"/>
          </w:tcPr>
          <w:p w14:paraId="062BFEED">
            <w:pPr>
              <w:spacing w:before="40" w:after="40" w:line="240" w:lineRule="auto"/>
            </w:pPr>
            <w:r>
              <w:rPr>
                <w:sz w:val="19"/>
              </w:rPr>
              <w:t>Free Translating Service</w:t>
            </w:r>
          </w:p>
        </w:tc>
        <w:tc>
          <w:tcPr>
            <w:tcW w:w="4422" w:type="dxa"/>
          </w:tcPr>
          <w:p w14:paraId="50C758B1">
            <w:pPr>
              <w:spacing w:before="40" w:after="40" w:line="240" w:lineRule="auto"/>
            </w:pPr>
            <w:r>
              <w:rPr>
                <w:sz w:val="19"/>
              </w:rPr>
              <w:t>Via TIS National / HSP provider support</w:t>
            </w:r>
          </w:p>
        </w:tc>
      </w:tr>
      <w:tr w14:paraId="2DB713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40" w:type="dxa"/>
            <w:left w:w="80" w:type="dxa"/>
            <w:bottom w:w="40" w:type="dxa"/>
            <w:right w:w="80" w:type="dxa"/>
          </w:tblCellMar>
        </w:tblPrEx>
        <w:trPr>
          <w:jc w:val="center"/>
        </w:trPr>
        <w:tc>
          <w:tcPr>
            <w:tcW w:w="2948" w:type="dxa"/>
            <w:shd w:val="clear" w:color="auto" w:fill="F5F9FC"/>
          </w:tcPr>
          <w:p w14:paraId="0117109B">
            <w:pPr>
              <w:spacing w:before="40" w:after="40" w:line="240" w:lineRule="auto"/>
            </w:pPr>
            <w:r>
              <w:rPr>
                <w:sz w:val="19"/>
              </w:rPr>
              <w:t>Immigration legal help (refugees and vulnerable migrants)</w:t>
            </w:r>
          </w:p>
        </w:tc>
        <w:tc>
          <w:tcPr>
            <w:tcW w:w="2494" w:type="dxa"/>
          </w:tcPr>
          <w:p w14:paraId="6CDE0FBE">
            <w:pPr>
              <w:spacing w:before="40" w:after="40" w:line="240" w:lineRule="auto"/>
            </w:pPr>
            <w:r>
              <w:rPr>
                <w:sz w:val="19"/>
              </w:rPr>
              <w:t>RAILS (free); private migration lawyers</w:t>
            </w:r>
          </w:p>
        </w:tc>
        <w:tc>
          <w:tcPr>
            <w:tcW w:w="4422" w:type="dxa"/>
          </w:tcPr>
          <w:p w14:paraId="07F575A3">
            <w:pPr>
              <w:spacing w:before="40" w:after="40" w:line="240" w:lineRule="auto"/>
            </w:pPr>
            <w:r>
              <w:rPr>
                <w:sz w:val="19"/>
              </w:rPr>
              <w:t>RAILS — 07 3846 9300; private firms (fee-for-service)</w:t>
            </w:r>
          </w:p>
        </w:tc>
      </w:tr>
    </w:tbl>
    <w:p w14:paraId="2ACA3DC5">
      <w:r>
        <w:br w:type="page"/>
      </w:r>
    </w:p>
    <w:p w14:paraId="12CFD41F">
      <w:pPr>
        <w:pStyle w:val="2"/>
      </w:pPr>
      <w:r>
        <w:rPr>
          <w:color w:val="002B49"/>
        </w:rPr>
        <w:t>ATTACHMENT A — Humanitarian Settlement Program (HSP) National Providers</w:t>
      </w:r>
    </w:p>
    <w:p w14:paraId="1AEFDF46">
      <w:pPr>
        <w:spacing w:before="0" w:after="120"/>
      </w:pPr>
      <w:r>
        <w:rPr>
          <w:b w:val="0"/>
          <w:i w:val="0"/>
          <w:sz w:val="21"/>
        </w:rPr>
        <w:t>The HSP is delivered on behalf of the Australian Government by 5 service providers in 11 contract regions across Australia (Department of Home Affairs, HSP Service Providers list).</w:t>
      </w:r>
    </w:p>
    <w:tbl>
      <w:tblPr>
        <w:tblStyle w:val="35"/>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0" w:type="dxa"/>
          <w:left w:w="80" w:type="dxa"/>
          <w:bottom w:w="40" w:type="dxa"/>
          <w:right w:w="80" w:type="dxa"/>
        </w:tblCellMar>
      </w:tblPr>
      <w:tblGrid>
        <w:gridCol w:w="4819"/>
        <w:gridCol w:w="4819"/>
      </w:tblGrid>
      <w:tr w14:paraId="4E3E1A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40" w:type="dxa"/>
            <w:left w:w="80" w:type="dxa"/>
            <w:bottom w:w="40" w:type="dxa"/>
            <w:right w:w="80" w:type="dxa"/>
          </w:tblCellMar>
        </w:tblPrEx>
        <w:trPr>
          <w:tblHeader/>
          <w:jc w:val="center"/>
        </w:trPr>
        <w:tc>
          <w:tcPr>
            <w:tcW w:w="4252" w:type="dxa"/>
            <w:shd w:val="clear" w:color="auto" w:fill="002B49"/>
          </w:tcPr>
          <w:p w14:paraId="71CDE6FC">
            <w:pPr>
              <w:spacing w:before="40" w:after="40" w:line="240" w:lineRule="auto"/>
            </w:pPr>
            <w:r>
              <w:rPr>
                <w:b/>
                <w:color w:val="FFFFFF"/>
                <w:sz w:val="19"/>
              </w:rPr>
              <w:t>Provider</w:t>
            </w:r>
          </w:p>
        </w:tc>
        <w:tc>
          <w:tcPr>
            <w:tcW w:w="5102" w:type="dxa"/>
            <w:shd w:val="clear" w:color="auto" w:fill="002B49"/>
          </w:tcPr>
          <w:p w14:paraId="7B8779F4">
            <w:pPr>
              <w:spacing w:before="40" w:after="40" w:line="240" w:lineRule="auto"/>
            </w:pPr>
            <w:r>
              <w:rPr>
                <w:b/>
                <w:color w:val="FFFFFF"/>
                <w:sz w:val="19"/>
              </w:rPr>
              <w:t>Region</w:t>
            </w:r>
          </w:p>
        </w:tc>
      </w:tr>
      <w:tr w14:paraId="65679D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40" w:type="dxa"/>
            <w:left w:w="80" w:type="dxa"/>
            <w:bottom w:w="40" w:type="dxa"/>
            <w:right w:w="80" w:type="dxa"/>
          </w:tblCellMar>
        </w:tblPrEx>
        <w:trPr>
          <w:jc w:val="center"/>
        </w:trPr>
        <w:tc>
          <w:tcPr>
            <w:tcW w:w="4252" w:type="dxa"/>
            <w:shd w:val="clear" w:color="auto" w:fill="F5F9FC"/>
          </w:tcPr>
          <w:p w14:paraId="7652D57D">
            <w:pPr>
              <w:spacing w:before="40" w:after="40" w:line="240" w:lineRule="auto"/>
            </w:pPr>
            <w:r>
              <w:rPr>
                <w:sz w:val="19"/>
              </w:rPr>
              <w:t>Australian Red Cross Society</w:t>
            </w:r>
          </w:p>
        </w:tc>
        <w:tc>
          <w:tcPr>
            <w:tcW w:w="5102" w:type="dxa"/>
          </w:tcPr>
          <w:p w14:paraId="1AA35326">
            <w:pPr>
              <w:spacing w:before="40" w:after="40" w:line="240" w:lineRule="auto"/>
            </w:pPr>
            <w:r>
              <w:rPr>
                <w:sz w:val="19"/>
              </w:rPr>
              <w:t>Canberra and Surrounds / Western Australia</w:t>
            </w:r>
          </w:p>
        </w:tc>
      </w:tr>
      <w:tr w14:paraId="6CE19C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40" w:type="dxa"/>
            <w:left w:w="80" w:type="dxa"/>
            <w:bottom w:w="40" w:type="dxa"/>
            <w:right w:w="80" w:type="dxa"/>
          </w:tblCellMar>
        </w:tblPrEx>
        <w:trPr>
          <w:jc w:val="center"/>
        </w:trPr>
        <w:tc>
          <w:tcPr>
            <w:tcW w:w="4252" w:type="dxa"/>
            <w:shd w:val="clear" w:color="auto" w:fill="F5F9FC"/>
          </w:tcPr>
          <w:p w14:paraId="2A08149F">
            <w:pPr>
              <w:spacing w:before="40" w:after="40" w:line="240" w:lineRule="auto"/>
            </w:pPr>
            <w:r>
              <w:rPr>
                <w:sz w:val="19"/>
              </w:rPr>
              <w:t>Settlement Services International (SSI)</w:t>
            </w:r>
          </w:p>
        </w:tc>
        <w:tc>
          <w:tcPr>
            <w:tcW w:w="5102" w:type="dxa"/>
          </w:tcPr>
          <w:p w14:paraId="779A806A">
            <w:pPr>
              <w:spacing w:before="40" w:after="40" w:line="240" w:lineRule="auto"/>
            </w:pPr>
            <w:r>
              <w:rPr>
                <w:sz w:val="19"/>
              </w:rPr>
              <w:t>Sydney / Regional NSW</w:t>
            </w:r>
          </w:p>
        </w:tc>
      </w:tr>
      <w:tr w14:paraId="24FCD3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40" w:type="dxa"/>
            <w:left w:w="80" w:type="dxa"/>
            <w:bottom w:w="40" w:type="dxa"/>
            <w:right w:w="80" w:type="dxa"/>
          </w:tblCellMar>
        </w:tblPrEx>
        <w:trPr>
          <w:jc w:val="center"/>
        </w:trPr>
        <w:tc>
          <w:tcPr>
            <w:tcW w:w="4252" w:type="dxa"/>
            <w:shd w:val="clear" w:color="auto" w:fill="F5F9FC"/>
          </w:tcPr>
          <w:p w14:paraId="400F9D38">
            <w:pPr>
              <w:spacing w:before="40" w:after="40" w:line="240" w:lineRule="auto"/>
            </w:pPr>
            <w:r>
              <w:rPr>
                <w:sz w:val="19"/>
              </w:rPr>
              <w:t>Multicultural Australia</w:t>
            </w:r>
          </w:p>
        </w:tc>
        <w:tc>
          <w:tcPr>
            <w:tcW w:w="5102" w:type="dxa"/>
          </w:tcPr>
          <w:p w14:paraId="2234ACE3">
            <w:pPr>
              <w:spacing w:before="40" w:after="40" w:line="240" w:lineRule="auto"/>
            </w:pPr>
            <w:r>
              <w:rPr>
                <w:sz w:val="19"/>
              </w:rPr>
              <w:t>Brisbane and Surrounds / North Queensland</w:t>
            </w:r>
          </w:p>
        </w:tc>
      </w:tr>
      <w:tr w14:paraId="445E1E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40" w:type="dxa"/>
            <w:left w:w="80" w:type="dxa"/>
            <w:bottom w:w="40" w:type="dxa"/>
            <w:right w:w="80" w:type="dxa"/>
          </w:tblCellMar>
        </w:tblPrEx>
        <w:trPr>
          <w:jc w:val="center"/>
        </w:trPr>
        <w:tc>
          <w:tcPr>
            <w:tcW w:w="4252" w:type="dxa"/>
            <w:shd w:val="clear" w:color="auto" w:fill="F5F9FC"/>
          </w:tcPr>
          <w:p w14:paraId="5E779975">
            <w:pPr>
              <w:spacing w:before="40" w:after="40" w:line="240" w:lineRule="auto"/>
            </w:pPr>
            <w:r>
              <w:rPr>
                <w:sz w:val="19"/>
              </w:rPr>
              <w:t>Melaleuca Australia</w:t>
            </w:r>
          </w:p>
        </w:tc>
        <w:tc>
          <w:tcPr>
            <w:tcW w:w="5102" w:type="dxa"/>
          </w:tcPr>
          <w:p w14:paraId="12F92AF0">
            <w:pPr>
              <w:spacing w:before="40" w:after="40" w:line="240" w:lineRule="auto"/>
            </w:pPr>
            <w:r>
              <w:rPr>
                <w:sz w:val="19"/>
              </w:rPr>
              <w:t>Northern Territory</w:t>
            </w:r>
          </w:p>
        </w:tc>
      </w:tr>
      <w:tr w14:paraId="4DFCAD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40" w:type="dxa"/>
            <w:left w:w="80" w:type="dxa"/>
            <w:bottom w:w="40" w:type="dxa"/>
            <w:right w:w="80" w:type="dxa"/>
          </w:tblCellMar>
        </w:tblPrEx>
        <w:trPr>
          <w:jc w:val="center"/>
        </w:trPr>
        <w:tc>
          <w:tcPr>
            <w:tcW w:w="4252" w:type="dxa"/>
            <w:shd w:val="clear" w:color="auto" w:fill="F5F9FC"/>
          </w:tcPr>
          <w:p w14:paraId="6693AB0E">
            <w:pPr>
              <w:spacing w:before="40" w:after="40" w:line="240" w:lineRule="auto"/>
            </w:pPr>
            <w:r>
              <w:rPr>
                <w:sz w:val="19"/>
              </w:rPr>
              <w:t>AMES Australia</w:t>
            </w:r>
          </w:p>
        </w:tc>
        <w:tc>
          <w:tcPr>
            <w:tcW w:w="5102" w:type="dxa"/>
          </w:tcPr>
          <w:p w14:paraId="5DB9AA07">
            <w:pPr>
              <w:spacing w:before="40" w:after="40" w:line="240" w:lineRule="auto"/>
            </w:pPr>
            <w:r>
              <w:rPr>
                <w:sz w:val="19"/>
              </w:rPr>
              <w:t>South Australia / Tasmania / Melbourne / Regional Victoria</w:t>
            </w:r>
          </w:p>
        </w:tc>
      </w:tr>
    </w:tbl>
    <w:p w14:paraId="75E5E4DC">
      <w:pPr>
        <w:spacing w:before="0" w:after="120"/>
      </w:pPr>
      <w:r>
        <w:rPr>
          <w:b w:val="0"/>
          <w:i w:val="0"/>
          <w:sz w:val="21"/>
        </w:rPr>
        <w:t>Source: national template HSP provider table; confirm the current list at immi.homeaffairs.gov.au (HSP Service Providers).</w:t>
      </w:r>
    </w:p>
    <w:p w14:paraId="54B157F9">
      <w:r>
        <w:br w:type="page"/>
      </w:r>
    </w:p>
    <w:p w14:paraId="5349C0CA">
      <w:pPr>
        <w:pStyle w:val="2"/>
      </w:pPr>
      <w:r>
        <w:rPr>
          <w:color w:val="002B49"/>
        </w:rPr>
        <w:t>ATTACHMENT B — Services Australia Resources</w:t>
      </w:r>
    </w:p>
    <w:tbl>
      <w:tblPr>
        <w:tblStyle w:val="35"/>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0" w:type="dxa"/>
          <w:left w:w="80" w:type="dxa"/>
          <w:bottom w:w="40" w:type="dxa"/>
          <w:right w:w="80" w:type="dxa"/>
        </w:tblCellMar>
      </w:tblPr>
      <w:tblGrid>
        <w:gridCol w:w="3213"/>
        <w:gridCol w:w="3213"/>
        <w:gridCol w:w="3213"/>
      </w:tblGrid>
      <w:tr w14:paraId="243131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40" w:type="dxa"/>
            <w:left w:w="80" w:type="dxa"/>
            <w:bottom w:w="40" w:type="dxa"/>
            <w:right w:w="80" w:type="dxa"/>
          </w:tblCellMar>
        </w:tblPrEx>
        <w:trPr>
          <w:tblHeader/>
          <w:jc w:val="center"/>
        </w:trPr>
        <w:tc>
          <w:tcPr>
            <w:tcW w:w="3515" w:type="dxa"/>
            <w:shd w:val="clear" w:color="auto" w:fill="002B49"/>
          </w:tcPr>
          <w:p w14:paraId="6046BA45">
            <w:pPr>
              <w:spacing w:before="40" w:after="40" w:line="240" w:lineRule="auto"/>
            </w:pPr>
            <w:r>
              <w:rPr>
                <w:b/>
                <w:color w:val="FFFFFF"/>
                <w:sz w:val="19"/>
              </w:rPr>
              <w:t>Title</w:t>
            </w:r>
          </w:p>
        </w:tc>
        <w:tc>
          <w:tcPr>
            <w:tcW w:w="3628" w:type="dxa"/>
            <w:shd w:val="clear" w:color="auto" w:fill="002B49"/>
          </w:tcPr>
          <w:p w14:paraId="66C33999">
            <w:pPr>
              <w:spacing w:before="40" w:after="40" w:line="240" w:lineRule="auto"/>
            </w:pPr>
            <w:r>
              <w:rPr>
                <w:b/>
                <w:color w:val="FFFFFF"/>
                <w:sz w:val="19"/>
              </w:rPr>
              <w:t>Description</w:t>
            </w:r>
          </w:p>
        </w:tc>
        <w:tc>
          <w:tcPr>
            <w:tcW w:w="2665" w:type="dxa"/>
            <w:shd w:val="clear" w:color="auto" w:fill="002B49"/>
          </w:tcPr>
          <w:p w14:paraId="1C8C3211">
            <w:pPr>
              <w:spacing w:before="40" w:after="40" w:line="240" w:lineRule="auto"/>
            </w:pPr>
            <w:r>
              <w:rPr>
                <w:b/>
                <w:color w:val="FFFFFF"/>
                <w:sz w:val="19"/>
              </w:rPr>
              <w:t>URL</w:t>
            </w:r>
          </w:p>
        </w:tc>
      </w:tr>
      <w:tr w14:paraId="661A88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40" w:type="dxa"/>
            <w:left w:w="80" w:type="dxa"/>
            <w:bottom w:w="40" w:type="dxa"/>
            <w:right w:w="80" w:type="dxa"/>
          </w:tblCellMar>
        </w:tblPrEx>
        <w:trPr>
          <w:jc w:val="center"/>
        </w:trPr>
        <w:tc>
          <w:tcPr>
            <w:tcW w:w="3515" w:type="dxa"/>
            <w:shd w:val="clear" w:color="auto" w:fill="F5F9FC"/>
          </w:tcPr>
          <w:p w14:paraId="5BC7413B">
            <w:pPr>
              <w:spacing w:before="40" w:after="40" w:line="240" w:lineRule="auto"/>
            </w:pPr>
            <w:r>
              <w:rPr>
                <w:sz w:val="19"/>
              </w:rPr>
              <w:t>Centrepay</w:t>
            </w:r>
          </w:p>
        </w:tc>
        <w:tc>
          <w:tcPr>
            <w:tcW w:w="3628" w:type="dxa"/>
          </w:tcPr>
          <w:p w14:paraId="78ACA17E">
            <w:pPr>
              <w:spacing w:before="40" w:after="40" w:line="240" w:lineRule="auto"/>
            </w:pPr>
            <w:r>
              <w:rPr>
                <w:sz w:val="19"/>
              </w:rPr>
              <w:t>A free bill-paying service direct from Centrelink payments.</w:t>
            </w:r>
          </w:p>
        </w:tc>
        <w:tc>
          <w:tcPr>
            <w:tcW w:w="2665" w:type="dxa"/>
          </w:tcPr>
          <w:p w14:paraId="00CCB2CA">
            <w:pPr>
              <w:spacing w:before="40" w:after="40" w:line="240" w:lineRule="auto"/>
            </w:pPr>
            <w:r>
              <w:fldChar w:fldCharType="begin"/>
            </w:r>
            <w:r>
              <w:instrText xml:space="preserve"> HYPERLINK "https://www.servicesaustralia.gov.au/centrepay" \h </w:instrText>
            </w:r>
            <w:r>
              <w:fldChar w:fldCharType="separate"/>
            </w:r>
            <w:r>
              <w:rPr>
                <w:rFonts w:ascii="Calibri" w:hAnsi="Calibri"/>
                <w:color w:val="0066CC"/>
                <w:sz w:val="19"/>
                <w:u w:val="single"/>
              </w:rPr>
              <w:t>https://www.servicesaustralia.gov.au/centrepay</w:t>
            </w:r>
            <w:r>
              <w:rPr>
                <w:rFonts w:ascii="Calibri" w:hAnsi="Calibri"/>
                <w:color w:val="0066CC"/>
                <w:sz w:val="19"/>
                <w:u w:val="single"/>
              </w:rPr>
              <w:fldChar w:fldCharType="end"/>
            </w:r>
          </w:p>
        </w:tc>
      </w:tr>
      <w:tr w14:paraId="725F11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40" w:type="dxa"/>
            <w:left w:w="80" w:type="dxa"/>
            <w:bottom w:w="40" w:type="dxa"/>
            <w:right w:w="80" w:type="dxa"/>
          </w:tblCellMar>
        </w:tblPrEx>
        <w:trPr>
          <w:jc w:val="center"/>
        </w:trPr>
        <w:tc>
          <w:tcPr>
            <w:tcW w:w="3515" w:type="dxa"/>
            <w:shd w:val="clear" w:color="auto" w:fill="F5F9FC"/>
          </w:tcPr>
          <w:p w14:paraId="35F906CA">
            <w:pPr>
              <w:spacing w:before="40" w:after="40" w:line="240" w:lineRule="auto"/>
            </w:pPr>
            <w:r>
              <w:rPr>
                <w:sz w:val="19"/>
              </w:rPr>
              <w:t>Employment Services Assessments (ESAts)</w:t>
            </w:r>
          </w:p>
        </w:tc>
        <w:tc>
          <w:tcPr>
            <w:tcW w:w="3628" w:type="dxa"/>
          </w:tcPr>
          <w:p w14:paraId="231DA54D">
            <w:pPr>
              <w:spacing w:before="40" w:after="40" w:line="240" w:lineRule="auto"/>
            </w:pPr>
            <w:r>
              <w:rPr>
                <w:sz w:val="19"/>
              </w:rPr>
              <w:t>Services Australia assessments for job seekers needing employment support.</w:t>
            </w:r>
          </w:p>
        </w:tc>
        <w:tc>
          <w:tcPr>
            <w:tcW w:w="2665" w:type="dxa"/>
          </w:tcPr>
          <w:p w14:paraId="5C07F84D">
            <w:pPr>
              <w:spacing w:before="40" w:after="40" w:line="240" w:lineRule="auto"/>
            </w:pPr>
            <w:r>
              <w:fldChar w:fldCharType="begin"/>
            </w:r>
            <w:r>
              <w:instrText xml:space="preserve"> HYPERLINK "https://www.servicesaustralia.gov.au/employment-services-assessments" \h </w:instrText>
            </w:r>
            <w:r>
              <w:fldChar w:fldCharType="separate"/>
            </w:r>
            <w:r>
              <w:rPr>
                <w:rFonts w:ascii="Calibri" w:hAnsi="Calibri"/>
                <w:color w:val="0066CC"/>
                <w:sz w:val="19"/>
                <w:u w:val="single"/>
              </w:rPr>
              <w:t>https://www.servicesaustralia.gov.au/employment-services-assessments</w:t>
            </w:r>
            <w:r>
              <w:rPr>
                <w:rFonts w:ascii="Calibri" w:hAnsi="Calibri"/>
                <w:color w:val="0066CC"/>
                <w:sz w:val="19"/>
                <w:u w:val="single"/>
              </w:rPr>
              <w:fldChar w:fldCharType="end"/>
            </w:r>
          </w:p>
        </w:tc>
      </w:tr>
      <w:tr w14:paraId="4302E5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40" w:type="dxa"/>
            <w:left w:w="80" w:type="dxa"/>
            <w:bottom w:w="40" w:type="dxa"/>
            <w:right w:w="80" w:type="dxa"/>
          </w:tblCellMar>
        </w:tblPrEx>
        <w:trPr>
          <w:jc w:val="center"/>
        </w:trPr>
        <w:tc>
          <w:tcPr>
            <w:tcW w:w="3515" w:type="dxa"/>
            <w:shd w:val="clear" w:color="auto" w:fill="F5F9FC"/>
          </w:tcPr>
          <w:p w14:paraId="496E6EFE">
            <w:pPr>
              <w:spacing w:before="40" w:after="40" w:line="240" w:lineRule="auto"/>
            </w:pPr>
            <w:r>
              <w:rPr>
                <w:sz w:val="19"/>
              </w:rPr>
              <w:t>Express Plus Centrelink mobile app</w:t>
            </w:r>
          </w:p>
        </w:tc>
        <w:tc>
          <w:tcPr>
            <w:tcW w:w="3628" w:type="dxa"/>
          </w:tcPr>
          <w:p w14:paraId="3CEDA4BF">
            <w:pPr>
              <w:spacing w:before="40" w:after="40" w:line="240" w:lineRule="auto"/>
            </w:pPr>
            <w:r>
              <w:rPr>
                <w:sz w:val="19"/>
              </w:rPr>
              <w:t>A mobile app to manage Services Australia services on the go.</w:t>
            </w:r>
          </w:p>
        </w:tc>
        <w:tc>
          <w:tcPr>
            <w:tcW w:w="2665" w:type="dxa"/>
          </w:tcPr>
          <w:p w14:paraId="67896430">
            <w:pPr>
              <w:spacing w:before="40" w:after="40" w:line="240" w:lineRule="auto"/>
            </w:pPr>
            <w:r>
              <w:fldChar w:fldCharType="begin"/>
            </w:r>
            <w:r>
              <w:instrText xml:space="preserve"> HYPERLINK "https://www.servicesaustralia.gov.au/express-plus-centrelink-mobile-app" \h </w:instrText>
            </w:r>
            <w:r>
              <w:fldChar w:fldCharType="separate"/>
            </w:r>
            <w:r>
              <w:rPr>
                <w:rFonts w:ascii="Calibri" w:hAnsi="Calibri"/>
                <w:color w:val="0066CC"/>
                <w:sz w:val="19"/>
                <w:u w:val="single"/>
              </w:rPr>
              <w:t>https://www.servicesaustralia.gov.au/express-plus-centrelink-mobile-app</w:t>
            </w:r>
            <w:r>
              <w:rPr>
                <w:rFonts w:ascii="Calibri" w:hAnsi="Calibri"/>
                <w:color w:val="0066CC"/>
                <w:sz w:val="19"/>
                <w:u w:val="single"/>
              </w:rPr>
              <w:fldChar w:fldCharType="end"/>
            </w:r>
          </w:p>
        </w:tc>
      </w:tr>
      <w:tr w14:paraId="5941D9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40" w:type="dxa"/>
            <w:left w:w="80" w:type="dxa"/>
            <w:bottom w:w="40" w:type="dxa"/>
            <w:right w:w="80" w:type="dxa"/>
          </w:tblCellMar>
        </w:tblPrEx>
        <w:trPr>
          <w:jc w:val="center"/>
        </w:trPr>
        <w:tc>
          <w:tcPr>
            <w:tcW w:w="3515" w:type="dxa"/>
            <w:shd w:val="clear" w:color="auto" w:fill="F5F9FC"/>
          </w:tcPr>
          <w:p w14:paraId="35C32058">
            <w:pPr>
              <w:spacing w:before="40" w:after="40" w:line="240" w:lineRule="auto"/>
            </w:pPr>
            <w:r>
              <w:rPr>
                <w:sz w:val="19"/>
              </w:rPr>
              <w:t>Medicare Enrolment Form (MS004)</w:t>
            </w:r>
          </w:p>
        </w:tc>
        <w:tc>
          <w:tcPr>
            <w:tcW w:w="3628" w:type="dxa"/>
          </w:tcPr>
          <w:p w14:paraId="5F62BC50">
            <w:pPr>
              <w:spacing w:before="40" w:after="40" w:line="240" w:lineRule="auto"/>
            </w:pPr>
            <w:r>
              <w:rPr>
                <w:sz w:val="19"/>
              </w:rPr>
              <w:t>Form to enrol in Medicare.</w:t>
            </w:r>
          </w:p>
        </w:tc>
        <w:tc>
          <w:tcPr>
            <w:tcW w:w="2665" w:type="dxa"/>
          </w:tcPr>
          <w:p w14:paraId="34520BF4">
            <w:pPr>
              <w:spacing w:before="40" w:after="40" w:line="240" w:lineRule="auto"/>
            </w:pPr>
            <w:r>
              <w:fldChar w:fldCharType="begin"/>
            </w:r>
            <w:r>
              <w:instrText xml:space="preserve"> HYPERLINK "https://www.servicesaustralia.gov.au/ms004" \h </w:instrText>
            </w:r>
            <w:r>
              <w:fldChar w:fldCharType="separate"/>
            </w:r>
            <w:r>
              <w:rPr>
                <w:rFonts w:ascii="Calibri" w:hAnsi="Calibri"/>
                <w:color w:val="0066CC"/>
                <w:sz w:val="19"/>
                <w:u w:val="single"/>
              </w:rPr>
              <w:t>https://www.servicesaustralia.gov.au/ms004</w:t>
            </w:r>
            <w:r>
              <w:rPr>
                <w:rFonts w:ascii="Calibri" w:hAnsi="Calibri"/>
                <w:color w:val="0066CC"/>
                <w:sz w:val="19"/>
                <w:u w:val="single"/>
              </w:rPr>
              <w:fldChar w:fldCharType="end"/>
            </w:r>
          </w:p>
        </w:tc>
      </w:tr>
      <w:tr w14:paraId="28DF64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40" w:type="dxa"/>
            <w:left w:w="80" w:type="dxa"/>
            <w:bottom w:w="40" w:type="dxa"/>
            <w:right w:w="80" w:type="dxa"/>
          </w:tblCellMar>
        </w:tblPrEx>
        <w:trPr>
          <w:jc w:val="center"/>
        </w:trPr>
        <w:tc>
          <w:tcPr>
            <w:tcW w:w="3515" w:type="dxa"/>
            <w:shd w:val="clear" w:color="auto" w:fill="F5F9FC"/>
          </w:tcPr>
          <w:p w14:paraId="02F71EFD">
            <w:pPr>
              <w:spacing w:before="40" w:after="40" w:line="240" w:lineRule="auto"/>
            </w:pPr>
            <w:r>
              <w:rPr>
                <w:sz w:val="19"/>
              </w:rPr>
              <w:t>Notification of Refugee Arrival Form (SS459)</w:t>
            </w:r>
          </w:p>
        </w:tc>
        <w:tc>
          <w:tcPr>
            <w:tcW w:w="3628" w:type="dxa"/>
          </w:tcPr>
          <w:p w14:paraId="19602891">
            <w:pPr>
              <w:spacing w:before="40" w:after="40" w:line="240" w:lineRule="auto"/>
            </w:pPr>
            <w:r>
              <w:rPr>
                <w:sz w:val="19"/>
              </w:rPr>
              <w:t>Form to notify Services Australia of refugee arrival.</w:t>
            </w:r>
          </w:p>
        </w:tc>
        <w:tc>
          <w:tcPr>
            <w:tcW w:w="2665" w:type="dxa"/>
          </w:tcPr>
          <w:p w14:paraId="3B7A5CEB">
            <w:pPr>
              <w:spacing w:before="40" w:after="40" w:line="240" w:lineRule="auto"/>
            </w:pPr>
            <w:r>
              <w:fldChar w:fldCharType="begin"/>
            </w:r>
            <w:r>
              <w:instrText xml:space="preserve"> HYPERLINK "https://www.servicesaustralia.gov.au/ss459" \h </w:instrText>
            </w:r>
            <w:r>
              <w:fldChar w:fldCharType="separate"/>
            </w:r>
            <w:r>
              <w:rPr>
                <w:rFonts w:ascii="Calibri" w:hAnsi="Calibri"/>
                <w:color w:val="0066CC"/>
                <w:sz w:val="19"/>
                <w:u w:val="single"/>
              </w:rPr>
              <w:t>https://www.servicesaustralia.gov.au/ss459</w:t>
            </w:r>
            <w:r>
              <w:rPr>
                <w:rFonts w:ascii="Calibri" w:hAnsi="Calibri"/>
                <w:color w:val="0066CC"/>
                <w:sz w:val="19"/>
                <w:u w:val="single"/>
              </w:rPr>
              <w:fldChar w:fldCharType="end"/>
            </w:r>
          </w:p>
        </w:tc>
      </w:tr>
      <w:tr w14:paraId="3D0CFC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40" w:type="dxa"/>
            <w:left w:w="80" w:type="dxa"/>
            <w:bottom w:w="40" w:type="dxa"/>
            <w:right w:w="80" w:type="dxa"/>
          </w:tblCellMar>
        </w:tblPrEx>
        <w:trPr>
          <w:jc w:val="center"/>
        </w:trPr>
        <w:tc>
          <w:tcPr>
            <w:tcW w:w="3515" w:type="dxa"/>
            <w:shd w:val="clear" w:color="auto" w:fill="F5F9FC"/>
          </w:tcPr>
          <w:p w14:paraId="5159E283">
            <w:pPr>
              <w:spacing w:before="40" w:after="40" w:line="240" w:lineRule="auto"/>
            </w:pPr>
            <w:r>
              <w:rPr>
                <w:sz w:val="19"/>
              </w:rPr>
              <w:t>Claim for persons granted a refugee, Humanitarian or Protection Visa form (SS415)</w:t>
            </w:r>
          </w:p>
        </w:tc>
        <w:tc>
          <w:tcPr>
            <w:tcW w:w="3628" w:type="dxa"/>
          </w:tcPr>
          <w:p w14:paraId="23B1500E">
            <w:pPr>
              <w:spacing w:before="40" w:after="40" w:line="240" w:lineRule="auto"/>
            </w:pPr>
            <w:r>
              <w:rPr>
                <w:sz w:val="19"/>
              </w:rPr>
              <w:t>To claim payments for those granted refugee, humanitarian or protection visas.</w:t>
            </w:r>
          </w:p>
        </w:tc>
        <w:tc>
          <w:tcPr>
            <w:tcW w:w="2665" w:type="dxa"/>
          </w:tcPr>
          <w:p w14:paraId="2A8744DF">
            <w:pPr>
              <w:spacing w:before="40" w:after="40" w:line="240" w:lineRule="auto"/>
            </w:pPr>
            <w:r>
              <w:fldChar w:fldCharType="begin"/>
            </w:r>
            <w:r>
              <w:instrText xml:space="preserve"> HYPERLINK "https://www.servicesaustralia.gov.au/ss415" \h </w:instrText>
            </w:r>
            <w:r>
              <w:fldChar w:fldCharType="separate"/>
            </w:r>
            <w:r>
              <w:rPr>
                <w:rFonts w:ascii="Calibri" w:hAnsi="Calibri"/>
                <w:color w:val="0066CC"/>
                <w:sz w:val="19"/>
                <w:u w:val="single"/>
              </w:rPr>
              <w:t>https://www.servicesaustralia.gov.au/ss415</w:t>
            </w:r>
            <w:r>
              <w:rPr>
                <w:rFonts w:ascii="Calibri" w:hAnsi="Calibri"/>
                <w:color w:val="0066CC"/>
                <w:sz w:val="19"/>
                <w:u w:val="single"/>
              </w:rPr>
              <w:fldChar w:fldCharType="end"/>
            </w:r>
          </w:p>
        </w:tc>
      </w:tr>
      <w:tr w14:paraId="43B044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40" w:type="dxa"/>
            <w:left w:w="80" w:type="dxa"/>
            <w:bottom w:w="40" w:type="dxa"/>
            <w:right w:w="80" w:type="dxa"/>
          </w:tblCellMar>
        </w:tblPrEx>
        <w:trPr>
          <w:jc w:val="center"/>
        </w:trPr>
        <w:tc>
          <w:tcPr>
            <w:tcW w:w="3515" w:type="dxa"/>
            <w:shd w:val="clear" w:color="auto" w:fill="F5F9FC"/>
          </w:tcPr>
          <w:p w14:paraId="27223B8B">
            <w:pPr>
              <w:spacing w:before="40" w:after="40" w:line="240" w:lineRule="auto"/>
            </w:pPr>
            <w:r>
              <w:rPr>
                <w:sz w:val="19"/>
              </w:rPr>
              <w:t>Multicultural Service Officers</w:t>
            </w:r>
          </w:p>
        </w:tc>
        <w:tc>
          <w:tcPr>
            <w:tcW w:w="3628" w:type="dxa"/>
          </w:tcPr>
          <w:p w14:paraId="08B3C220">
            <w:pPr>
              <w:spacing w:before="40" w:after="40" w:line="240" w:lineRule="auto"/>
            </w:pPr>
            <w:r>
              <w:rPr>
                <w:sz w:val="19"/>
              </w:rPr>
              <w:t>Help migrants and refugees engage with Services Australia services.</w:t>
            </w:r>
          </w:p>
        </w:tc>
        <w:tc>
          <w:tcPr>
            <w:tcW w:w="2665" w:type="dxa"/>
          </w:tcPr>
          <w:p w14:paraId="0BE38F60">
            <w:pPr>
              <w:spacing w:before="40" w:after="40" w:line="240" w:lineRule="auto"/>
            </w:pPr>
            <w:r>
              <w:fldChar w:fldCharType="begin"/>
            </w:r>
            <w:r>
              <w:instrText xml:space="preserve"> HYPERLINK "https://www.servicesaustralia.gov.au/multicultural-service-officers" \h </w:instrText>
            </w:r>
            <w:r>
              <w:fldChar w:fldCharType="separate"/>
            </w:r>
            <w:r>
              <w:rPr>
                <w:rFonts w:ascii="Calibri" w:hAnsi="Calibri"/>
                <w:color w:val="0066CC"/>
                <w:sz w:val="19"/>
                <w:u w:val="single"/>
              </w:rPr>
              <w:t>https://www.servicesaustralia.gov.au/multicultural-service-officers</w:t>
            </w:r>
            <w:r>
              <w:rPr>
                <w:rFonts w:ascii="Calibri" w:hAnsi="Calibri"/>
                <w:color w:val="0066CC"/>
                <w:sz w:val="19"/>
                <w:u w:val="single"/>
              </w:rPr>
              <w:fldChar w:fldCharType="end"/>
            </w:r>
          </w:p>
        </w:tc>
      </w:tr>
      <w:tr w14:paraId="79FC45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40" w:type="dxa"/>
            <w:left w:w="80" w:type="dxa"/>
            <w:bottom w:w="40" w:type="dxa"/>
            <w:right w:w="80" w:type="dxa"/>
          </w:tblCellMar>
        </w:tblPrEx>
        <w:trPr>
          <w:jc w:val="center"/>
        </w:trPr>
        <w:tc>
          <w:tcPr>
            <w:tcW w:w="3515" w:type="dxa"/>
            <w:shd w:val="clear" w:color="auto" w:fill="F5F9FC"/>
          </w:tcPr>
          <w:p w14:paraId="7F20CFA7">
            <w:pPr>
              <w:spacing w:before="40" w:after="40" w:line="240" w:lineRule="auto"/>
            </w:pPr>
            <w:r>
              <w:rPr>
                <w:sz w:val="19"/>
              </w:rPr>
              <w:t>Verification of medical conditions form (SU684)</w:t>
            </w:r>
          </w:p>
        </w:tc>
        <w:tc>
          <w:tcPr>
            <w:tcW w:w="3628" w:type="dxa"/>
          </w:tcPr>
          <w:p w14:paraId="3579F423">
            <w:pPr>
              <w:spacing w:before="40" w:after="40" w:line="240" w:lineRule="auto"/>
            </w:pPr>
            <w:r>
              <w:rPr>
                <w:sz w:val="19"/>
              </w:rPr>
              <w:t>Services Australia form to verify medical conditions.</w:t>
            </w:r>
          </w:p>
        </w:tc>
        <w:tc>
          <w:tcPr>
            <w:tcW w:w="2665" w:type="dxa"/>
          </w:tcPr>
          <w:p w14:paraId="60E5DB02">
            <w:pPr>
              <w:spacing w:before="40" w:after="40" w:line="240" w:lineRule="auto"/>
            </w:pPr>
            <w:r>
              <w:fldChar w:fldCharType="begin"/>
            </w:r>
            <w:r>
              <w:instrText xml:space="preserve"> HYPERLINK "https://www.servicesaustralia.gov.au/su684" \h </w:instrText>
            </w:r>
            <w:r>
              <w:fldChar w:fldCharType="separate"/>
            </w:r>
            <w:r>
              <w:rPr>
                <w:rFonts w:ascii="Calibri" w:hAnsi="Calibri"/>
                <w:color w:val="0066CC"/>
                <w:sz w:val="19"/>
                <w:u w:val="single"/>
              </w:rPr>
              <w:t>https://www.servicesaustralia.gov.au/su684</w:t>
            </w:r>
            <w:r>
              <w:rPr>
                <w:rFonts w:ascii="Calibri" w:hAnsi="Calibri"/>
                <w:color w:val="0066CC"/>
                <w:sz w:val="19"/>
                <w:u w:val="single"/>
              </w:rPr>
              <w:fldChar w:fldCharType="end"/>
            </w:r>
          </w:p>
        </w:tc>
      </w:tr>
    </w:tbl>
    <w:p w14:paraId="7F56D0A1">
      <w:r>
        <w:br w:type="page"/>
      </w:r>
    </w:p>
    <w:p w14:paraId="289A2982">
      <w:pPr>
        <w:pStyle w:val="2"/>
      </w:pPr>
      <w:r>
        <w:rPr>
          <w:color w:val="002B49"/>
        </w:rPr>
        <w:t>ATTACHMENT C — SETS Providers in the Brisbane South East Region (Summary)</w:t>
      </w:r>
    </w:p>
    <w:tbl>
      <w:tblPr>
        <w:tblStyle w:val="35"/>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0" w:type="dxa"/>
          <w:left w:w="80" w:type="dxa"/>
          <w:bottom w:w="40" w:type="dxa"/>
          <w:right w:w="80" w:type="dxa"/>
        </w:tblCellMar>
      </w:tblPr>
      <w:tblGrid>
        <w:gridCol w:w="1928"/>
        <w:gridCol w:w="1928"/>
        <w:gridCol w:w="1928"/>
        <w:gridCol w:w="1928"/>
        <w:gridCol w:w="1928"/>
      </w:tblGrid>
      <w:tr w14:paraId="705439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40" w:type="dxa"/>
            <w:left w:w="80" w:type="dxa"/>
            <w:bottom w:w="40" w:type="dxa"/>
            <w:right w:w="80" w:type="dxa"/>
          </w:tblCellMar>
        </w:tblPrEx>
        <w:trPr>
          <w:tblHeader/>
          <w:jc w:val="center"/>
        </w:trPr>
        <w:tc>
          <w:tcPr>
            <w:tcW w:w="1928" w:type="dxa"/>
            <w:shd w:val="clear" w:color="auto" w:fill="002B49"/>
          </w:tcPr>
          <w:p w14:paraId="196A8409">
            <w:pPr>
              <w:spacing w:before="40" w:after="40" w:line="240" w:lineRule="auto"/>
            </w:pPr>
            <w:r>
              <w:rPr>
                <w:b/>
                <w:color w:val="FFFFFF"/>
                <w:sz w:val="19"/>
              </w:rPr>
              <w:t>Agency</w:t>
            </w:r>
          </w:p>
        </w:tc>
        <w:tc>
          <w:tcPr>
            <w:tcW w:w="2041" w:type="dxa"/>
            <w:shd w:val="clear" w:color="auto" w:fill="002B49"/>
          </w:tcPr>
          <w:p w14:paraId="64D60959">
            <w:pPr>
              <w:spacing w:before="40" w:after="40" w:line="240" w:lineRule="auto"/>
            </w:pPr>
            <w:r>
              <w:rPr>
                <w:b/>
                <w:color w:val="FFFFFF"/>
                <w:sz w:val="19"/>
              </w:rPr>
              <w:t>Email</w:t>
            </w:r>
          </w:p>
        </w:tc>
        <w:tc>
          <w:tcPr>
            <w:tcW w:w="1701" w:type="dxa"/>
            <w:shd w:val="clear" w:color="auto" w:fill="002B49"/>
          </w:tcPr>
          <w:p w14:paraId="3B386C25">
            <w:pPr>
              <w:spacing w:before="40" w:after="40" w:line="240" w:lineRule="auto"/>
            </w:pPr>
            <w:r>
              <w:rPr>
                <w:b/>
                <w:color w:val="FFFFFF"/>
                <w:sz w:val="19"/>
              </w:rPr>
              <w:t>Website</w:t>
            </w:r>
          </w:p>
        </w:tc>
        <w:tc>
          <w:tcPr>
            <w:tcW w:w="2608" w:type="dxa"/>
            <w:shd w:val="clear" w:color="auto" w:fill="002B49"/>
          </w:tcPr>
          <w:p w14:paraId="2A674BEE">
            <w:pPr>
              <w:spacing w:before="40" w:after="40" w:line="240" w:lineRule="auto"/>
            </w:pPr>
            <w:r>
              <w:rPr>
                <w:b/>
                <w:color w:val="FFFFFF"/>
                <w:sz w:val="19"/>
              </w:rPr>
              <w:t>Areas serviced</w:t>
            </w:r>
          </w:p>
        </w:tc>
        <w:tc>
          <w:tcPr>
            <w:tcW w:w="1701" w:type="dxa"/>
            <w:shd w:val="clear" w:color="auto" w:fill="002B49"/>
          </w:tcPr>
          <w:p w14:paraId="3D518A2D">
            <w:pPr>
              <w:spacing w:before="40" w:after="40" w:line="240" w:lineRule="auto"/>
            </w:pPr>
            <w:r>
              <w:rPr>
                <w:b/>
                <w:color w:val="FFFFFF"/>
                <w:sz w:val="19"/>
              </w:rPr>
              <w:t>Verification status</w:t>
            </w:r>
          </w:p>
        </w:tc>
      </w:tr>
      <w:tr w14:paraId="684B2F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40" w:type="dxa"/>
            <w:left w:w="80" w:type="dxa"/>
            <w:bottom w:w="40" w:type="dxa"/>
            <w:right w:w="80" w:type="dxa"/>
          </w:tblCellMar>
        </w:tblPrEx>
        <w:trPr>
          <w:jc w:val="center"/>
        </w:trPr>
        <w:tc>
          <w:tcPr>
            <w:tcW w:w="1928" w:type="dxa"/>
            <w:shd w:val="clear" w:color="auto" w:fill="F5F9FC"/>
          </w:tcPr>
          <w:p w14:paraId="11E34B55">
            <w:pPr>
              <w:spacing w:before="40" w:after="40" w:line="240" w:lineRule="auto"/>
            </w:pPr>
            <w:r>
              <w:rPr>
                <w:sz w:val="19"/>
              </w:rPr>
              <w:t>Multicultural Australia</w:t>
            </w:r>
          </w:p>
        </w:tc>
        <w:tc>
          <w:tcPr>
            <w:tcW w:w="2041" w:type="dxa"/>
          </w:tcPr>
          <w:p w14:paraId="05A41764">
            <w:pPr>
              <w:spacing w:before="40" w:after="40" w:line="240" w:lineRule="auto"/>
            </w:pPr>
            <w:r>
              <w:rPr>
                <w:sz w:val="19"/>
              </w:rPr>
              <w:t>welcome@mcaus.org.au; LoganOffice@mcaus.org.au</w:t>
            </w:r>
          </w:p>
        </w:tc>
        <w:tc>
          <w:tcPr>
            <w:tcW w:w="1701" w:type="dxa"/>
          </w:tcPr>
          <w:p w14:paraId="7511975B">
            <w:pPr>
              <w:spacing w:before="40" w:after="40" w:line="240" w:lineRule="auto"/>
            </w:pPr>
            <w:r>
              <w:rPr>
                <w:sz w:val="19"/>
              </w:rPr>
              <w:t>multiculturalaustralia.org.au</w:t>
            </w:r>
          </w:p>
        </w:tc>
        <w:tc>
          <w:tcPr>
            <w:tcW w:w="2608" w:type="dxa"/>
          </w:tcPr>
          <w:p w14:paraId="15DB2C2E">
            <w:pPr>
              <w:spacing w:before="40" w:after="40" w:line="240" w:lineRule="auto"/>
            </w:pPr>
            <w:r>
              <w:rPr>
                <w:sz w:val="19"/>
              </w:rPr>
              <w:t>Brisbane and Logan; wider Queensland</w:t>
            </w:r>
          </w:p>
        </w:tc>
        <w:tc>
          <w:tcPr>
            <w:tcW w:w="1701" w:type="dxa"/>
          </w:tcPr>
          <w:p w14:paraId="5A3BD884">
            <w:pPr>
              <w:spacing w:before="40" w:after="40" w:line="240" w:lineRule="auto"/>
              <w:rPr>
                <w:rFonts w:hint="default"/>
                <w:lang w:val="en-US"/>
              </w:rPr>
            </w:pPr>
            <w:r>
              <w:rPr>
                <w:sz w:val="19"/>
                <w:lang w:val="en-US"/>
              </w:rPr>
              <w:t>REQUIRES VERIFICATION</w:t>
            </w:r>
          </w:p>
        </w:tc>
      </w:tr>
      <w:tr w14:paraId="4E28F0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40" w:type="dxa"/>
            <w:left w:w="80" w:type="dxa"/>
            <w:bottom w:w="40" w:type="dxa"/>
            <w:right w:w="80" w:type="dxa"/>
          </w:tblCellMar>
        </w:tblPrEx>
        <w:trPr>
          <w:jc w:val="center"/>
        </w:trPr>
        <w:tc>
          <w:tcPr>
            <w:tcW w:w="1928" w:type="dxa"/>
            <w:shd w:val="clear" w:color="auto" w:fill="F5F9FC"/>
          </w:tcPr>
          <w:p w14:paraId="28851072">
            <w:pPr>
              <w:spacing w:before="40" w:after="40" w:line="240" w:lineRule="auto"/>
            </w:pPr>
            <w:r>
              <w:rPr>
                <w:sz w:val="19"/>
              </w:rPr>
              <w:t>MultiLink Community Services Inc</w:t>
            </w:r>
          </w:p>
        </w:tc>
        <w:tc>
          <w:tcPr>
            <w:tcW w:w="2041" w:type="dxa"/>
          </w:tcPr>
          <w:p w14:paraId="4F1EE8A9">
            <w:pPr>
              <w:spacing w:before="40" w:after="40" w:line="240" w:lineRule="auto"/>
            </w:pPr>
            <w:r>
              <w:rPr>
                <w:sz w:val="19"/>
              </w:rPr>
              <w:t>reception@multilink.org.au</w:t>
            </w:r>
          </w:p>
        </w:tc>
        <w:tc>
          <w:tcPr>
            <w:tcW w:w="1701" w:type="dxa"/>
          </w:tcPr>
          <w:p w14:paraId="71F4104C">
            <w:pPr>
              <w:spacing w:before="40" w:after="40" w:line="240" w:lineRule="auto"/>
            </w:pPr>
            <w:r>
              <w:rPr>
                <w:sz w:val="19"/>
              </w:rPr>
              <w:t>multilink.org.au</w:t>
            </w:r>
          </w:p>
        </w:tc>
        <w:tc>
          <w:tcPr>
            <w:tcW w:w="2608" w:type="dxa"/>
          </w:tcPr>
          <w:p w14:paraId="3D9CBBC3">
            <w:pPr>
              <w:spacing w:before="40" w:after="40" w:line="240" w:lineRule="auto"/>
            </w:pPr>
            <w:r>
              <w:rPr>
                <w:sz w:val="19"/>
              </w:rPr>
              <w:t>Logan Central, Kingston, Browns Plains, Underwood, Springwood, Slacks Creek, Beenleigh, Yarrabilba and surrounding Logan areas</w:t>
            </w:r>
          </w:p>
        </w:tc>
        <w:tc>
          <w:tcPr>
            <w:tcW w:w="1701" w:type="dxa"/>
          </w:tcPr>
          <w:p w14:paraId="3883F93C">
            <w:pPr>
              <w:spacing w:before="40" w:after="40" w:line="240" w:lineRule="auto"/>
              <w:rPr>
                <w:rFonts w:hint="default"/>
                <w:lang w:val="en-US"/>
              </w:rPr>
            </w:pPr>
            <w:r>
              <w:rPr>
                <w:sz w:val="19"/>
                <w:lang w:val="en-US"/>
              </w:rPr>
              <w:t>REQUIRES VERIFICATION</w:t>
            </w:r>
          </w:p>
        </w:tc>
      </w:tr>
      <w:tr w14:paraId="29ADB3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40" w:type="dxa"/>
            <w:left w:w="80" w:type="dxa"/>
            <w:bottom w:w="40" w:type="dxa"/>
            <w:right w:w="80" w:type="dxa"/>
          </w:tblCellMar>
        </w:tblPrEx>
        <w:trPr>
          <w:jc w:val="center"/>
        </w:trPr>
        <w:tc>
          <w:tcPr>
            <w:tcW w:w="1928" w:type="dxa"/>
            <w:shd w:val="clear" w:color="auto" w:fill="F5F9FC"/>
          </w:tcPr>
          <w:p w14:paraId="7BC15118">
            <w:pPr>
              <w:spacing w:before="40" w:after="40" w:line="240" w:lineRule="auto"/>
            </w:pPr>
            <w:r>
              <w:rPr>
                <w:sz w:val="19"/>
              </w:rPr>
              <w:t>QPASTT</w:t>
            </w:r>
          </w:p>
        </w:tc>
        <w:tc>
          <w:tcPr>
            <w:tcW w:w="2041" w:type="dxa"/>
          </w:tcPr>
          <w:p w14:paraId="7F3C257A">
            <w:pPr>
              <w:spacing w:before="40" w:after="40" w:line="240" w:lineRule="auto"/>
            </w:pPr>
            <w:r>
              <w:rPr>
                <w:sz w:val="19"/>
              </w:rPr>
              <w:t>Contact via QPASTT site</w:t>
            </w:r>
          </w:p>
        </w:tc>
        <w:tc>
          <w:tcPr>
            <w:tcW w:w="1701" w:type="dxa"/>
          </w:tcPr>
          <w:p w14:paraId="715EE783">
            <w:pPr>
              <w:spacing w:before="40" w:after="40" w:line="240" w:lineRule="auto"/>
            </w:pPr>
            <w:r>
              <w:rPr>
                <w:sz w:val="19"/>
              </w:rPr>
              <w:t>qpastt.org.au</w:t>
            </w:r>
          </w:p>
        </w:tc>
        <w:tc>
          <w:tcPr>
            <w:tcW w:w="2608" w:type="dxa"/>
          </w:tcPr>
          <w:p w14:paraId="0C10C005">
            <w:pPr>
              <w:spacing w:before="40" w:after="40" w:line="240" w:lineRule="auto"/>
            </w:pPr>
            <w:r>
              <w:rPr>
                <w:sz w:val="19"/>
              </w:rPr>
              <w:t>Greater Brisbane (Woolloongabba) and Logan (Slacks Creek, Logan Central); Queensland-wide</w:t>
            </w:r>
          </w:p>
        </w:tc>
        <w:tc>
          <w:tcPr>
            <w:tcW w:w="1701" w:type="dxa"/>
          </w:tcPr>
          <w:p w14:paraId="02BAED2F">
            <w:pPr>
              <w:spacing w:before="40" w:after="40" w:line="240" w:lineRule="auto"/>
              <w:rPr>
                <w:rFonts w:hint="default"/>
                <w:lang w:val="en-US"/>
              </w:rPr>
            </w:pPr>
            <w:r>
              <w:rPr>
                <w:sz w:val="19"/>
                <w:lang w:val="en-US"/>
              </w:rPr>
              <w:t>REQUIRES VERIFICATION</w:t>
            </w:r>
          </w:p>
        </w:tc>
      </w:tr>
      <w:tr w14:paraId="0693F7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40" w:type="dxa"/>
            <w:left w:w="80" w:type="dxa"/>
            <w:bottom w:w="40" w:type="dxa"/>
            <w:right w:w="80" w:type="dxa"/>
          </w:tblCellMar>
        </w:tblPrEx>
        <w:trPr>
          <w:jc w:val="center"/>
        </w:trPr>
        <w:tc>
          <w:tcPr>
            <w:tcW w:w="1928" w:type="dxa"/>
            <w:shd w:val="clear" w:color="auto" w:fill="F5F9FC"/>
          </w:tcPr>
          <w:p w14:paraId="57E8E1D1">
            <w:pPr>
              <w:spacing w:before="40" w:after="40" w:line="240" w:lineRule="auto"/>
            </w:pPr>
            <w:r>
              <w:rPr>
                <w:sz w:val="19"/>
              </w:rPr>
              <w:t>IWA Australia</w:t>
            </w:r>
          </w:p>
        </w:tc>
        <w:tc>
          <w:tcPr>
            <w:tcW w:w="2041" w:type="dxa"/>
          </w:tcPr>
          <w:p w14:paraId="4930AE06">
            <w:pPr>
              <w:spacing w:before="40" w:after="40" w:line="240" w:lineRule="auto"/>
            </w:pPr>
            <w:r>
              <w:rPr>
                <w:sz w:val="19"/>
              </w:rPr>
              <w:t>admin@iwaa.org.au</w:t>
            </w:r>
          </w:p>
        </w:tc>
        <w:tc>
          <w:tcPr>
            <w:tcW w:w="1701" w:type="dxa"/>
          </w:tcPr>
          <w:p w14:paraId="53C2447C">
            <w:pPr>
              <w:spacing w:before="40" w:after="40" w:line="240" w:lineRule="auto"/>
            </w:pPr>
            <w:r>
              <w:rPr>
                <w:sz w:val="19"/>
              </w:rPr>
              <w:t>iwaa.org.au</w:t>
            </w:r>
          </w:p>
        </w:tc>
        <w:tc>
          <w:tcPr>
            <w:tcW w:w="2608" w:type="dxa"/>
          </w:tcPr>
          <w:p w14:paraId="37574ABC">
            <w:pPr>
              <w:spacing w:before="40" w:after="40" w:line="240" w:lineRule="auto"/>
            </w:pPr>
            <w:r>
              <w:rPr>
                <w:sz w:val="19"/>
              </w:rPr>
              <w:t>Springwood (4127); Brisbane/Logan settlement communities</w:t>
            </w:r>
          </w:p>
        </w:tc>
        <w:tc>
          <w:tcPr>
            <w:tcW w:w="1701" w:type="dxa"/>
          </w:tcPr>
          <w:p w14:paraId="6CA29681">
            <w:pPr>
              <w:spacing w:before="40" w:after="40" w:line="240" w:lineRule="auto"/>
              <w:rPr>
                <w:rFonts w:hint="default"/>
                <w:lang w:val="en-US"/>
              </w:rPr>
            </w:pPr>
            <w:r>
              <w:rPr>
                <w:sz w:val="19"/>
                <w:lang w:val="en-US"/>
              </w:rPr>
              <w:t>REQUIRES VERIFICATION</w:t>
            </w:r>
          </w:p>
        </w:tc>
      </w:tr>
      <w:tr w14:paraId="2F3736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40" w:type="dxa"/>
            <w:left w:w="80" w:type="dxa"/>
            <w:bottom w:w="40" w:type="dxa"/>
            <w:right w:w="80" w:type="dxa"/>
          </w:tblCellMar>
        </w:tblPrEx>
        <w:trPr>
          <w:jc w:val="center"/>
        </w:trPr>
        <w:tc>
          <w:tcPr>
            <w:tcW w:w="1928" w:type="dxa"/>
            <w:shd w:val="clear" w:color="auto" w:fill="F5F9FC"/>
          </w:tcPr>
          <w:p w14:paraId="235EB874">
            <w:pPr>
              <w:spacing w:before="40" w:after="40" w:line="240" w:lineRule="auto"/>
            </w:pPr>
            <w:r>
              <w:rPr>
                <w:sz w:val="19"/>
              </w:rPr>
              <w:t>Settlement Services International (SSI)</w:t>
            </w:r>
          </w:p>
        </w:tc>
        <w:tc>
          <w:tcPr>
            <w:tcW w:w="2041" w:type="dxa"/>
          </w:tcPr>
          <w:p w14:paraId="61F762E4">
            <w:pPr>
              <w:spacing w:before="40" w:after="40" w:line="240" w:lineRule="auto"/>
            </w:pPr>
            <w:r>
              <w:rPr>
                <w:sz w:val="19"/>
              </w:rPr>
              <w:t>acsl.settlementsupport@ssi.org.au</w:t>
            </w:r>
          </w:p>
        </w:tc>
        <w:tc>
          <w:tcPr>
            <w:tcW w:w="1701" w:type="dxa"/>
          </w:tcPr>
          <w:p w14:paraId="76EE071C">
            <w:pPr>
              <w:spacing w:before="40" w:after="40" w:line="240" w:lineRule="auto"/>
            </w:pPr>
            <w:r>
              <w:rPr>
                <w:sz w:val="19"/>
              </w:rPr>
              <w:t>ssi.org.au</w:t>
            </w:r>
          </w:p>
        </w:tc>
        <w:tc>
          <w:tcPr>
            <w:tcW w:w="2608" w:type="dxa"/>
          </w:tcPr>
          <w:p w14:paraId="72B2DFFB">
            <w:pPr>
              <w:spacing w:before="40" w:after="40" w:line="240" w:lineRule="auto"/>
            </w:pPr>
            <w:r>
              <w:rPr>
                <w:sz w:val="19"/>
              </w:rPr>
              <w:t>Brisbane, Logan, Redland and Scenic Rim groups; also Moreton Bay South, Ipswich, Lockyer Valley</w:t>
            </w:r>
          </w:p>
        </w:tc>
        <w:tc>
          <w:tcPr>
            <w:tcW w:w="1701" w:type="dxa"/>
          </w:tcPr>
          <w:p w14:paraId="2D140434">
            <w:pPr>
              <w:spacing w:before="40" w:after="40" w:line="240" w:lineRule="auto"/>
              <w:rPr>
                <w:rFonts w:hint="default"/>
                <w:lang w:val="en-US"/>
              </w:rPr>
            </w:pPr>
            <w:r>
              <w:rPr>
                <w:sz w:val="19"/>
                <w:lang w:val="en-US"/>
              </w:rPr>
              <w:t>REQUIRES VERIFICATION</w:t>
            </w:r>
          </w:p>
        </w:tc>
      </w:tr>
      <w:tr w14:paraId="5070D0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40" w:type="dxa"/>
            <w:left w:w="80" w:type="dxa"/>
            <w:bottom w:w="40" w:type="dxa"/>
            <w:right w:w="80" w:type="dxa"/>
          </w:tblCellMar>
        </w:tblPrEx>
        <w:trPr>
          <w:jc w:val="center"/>
        </w:trPr>
        <w:tc>
          <w:tcPr>
            <w:tcW w:w="1928" w:type="dxa"/>
            <w:shd w:val="clear" w:color="auto" w:fill="F5F9FC"/>
          </w:tcPr>
          <w:p w14:paraId="4877EC40">
            <w:pPr>
              <w:spacing w:before="40" w:after="40" w:line="240" w:lineRule="auto"/>
            </w:pPr>
            <w:r>
              <w:rPr>
                <w:sz w:val="19"/>
              </w:rPr>
              <w:t>Accoras</w:t>
            </w:r>
          </w:p>
        </w:tc>
        <w:tc>
          <w:tcPr>
            <w:tcW w:w="2041" w:type="dxa"/>
          </w:tcPr>
          <w:p w14:paraId="4674ADC9">
            <w:pPr>
              <w:spacing w:before="40" w:after="40" w:line="240" w:lineRule="auto"/>
            </w:pPr>
            <w:r>
              <w:rPr>
                <w:sz w:val="19"/>
              </w:rPr>
              <w:t>info@accoras.com.au</w:t>
            </w:r>
          </w:p>
        </w:tc>
        <w:tc>
          <w:tcPr>
            <w:tcW w:w="1701" w:type="dxa"/>
          </w:tcPr>
          <w:p w14:paraId="6CFCE8BC">
            <w:pPr>
              <w:spacing w:before="40" w:after="40" w:line="240" w:lineRule="auto"/>
            </w:pPr>
            <w:r>
              <w:rPr>
                <w:sz w:val="19"/>
              </w:rPr>
              <w:t>accoras.com.au</w:t>
            </w:r>
          </w:p>
        </w:tc>
        <w:tc>
          <w:tcPr>
            <w:tcW w:w="2608" w:type="dxa"/>
          </w:tcPr>
          <w:p w14:paraId="67B0D9E4">
            <w:pPr>
              <w:spacing w:before="40" w:after="40" w:line="240" w:lineRule="auto"/>
            </w:pPr>
            <w:r>
              <w:rPr>
                <w:sz w:val="19"/>
              </w:rPr>
              <w:t>Wider Brisbane region; head office Upper Mount Gravatt (4122)</w:t>
            </w:r>
          </w:p>
        </w:tc>
        <w:tc>
          <w:tcPr>
            <w:tcW w:w="1701" w:type="dxa"/>
          </w:tcPr>
          <w:p w14:paraId="301D30DF">
            <w:pPr>
              <w:spacing w:before="40" w:after="40" w:line="240" w:lineRule="auto"/>
              <w:rPr>
                <w:rFonts w:hint="default"/>
                <w:lang w:val="en-US"/>
              </w:rPr>
            </w:pPr>
            <w:r>
              <w:rPr>
                <w:sz w:val="19"/>
                <w:lang w:val="en-US"/>
              </w:rPr>
              <w:t>REQUIRES VERIFICATION</w:t>
            </w:r>
          </w:p>
        </w:tc>
      </w:tr>
      <w:tr w14:paraId="26E77A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40" w:type="dxa"/>
            <w:left w:w="80" w:type="dxa"/>
            <w:bottom w:w="40" w:type="dxa"/>
            <w:right w:w="80" w:type="dxa"/>
          </w:tblCellMar>
        </w:tblPrEx>
        <w:trPr>
          <w:jc w:val="center"/>
        </w:trPr>
        <w:tc>
          <w:tcPr>
            <w:tcW w:w="1928" w:type="dxa"/>
            <w:shd w:val="clear" w:color="auto" w:fill="F5F9FC"/>
          </w:tcPr>
          <w:p w14:paraId="58261378">
            <w:pPr>
              <w:spacing w:before="40" w:after="40" w:line="240" w:lineRule="auto"/>
            </w:pPr>
            <w:r>
              <w:rPr>
                <w:sz w:val="19"/>
              </w:rPr>
              <w:t>Multicultural Community Centre Brisbane</w:t>
            </w:r>
          </w:p>
        </w:tc>
        <w:tc>
          <w:tcPr>
            <w:tcW w:w="2041" w:type="dxa"/>
          </w:tcPr>
          <w:p w14:paraId="721FD902">
            <w:pPr>
              <w:spacing w:before="40" w:after="40" w:line="240" w:lineRule="auto"/>
            </w:pPr>
            <w:r>
              <w:rPr>
                <w:sz w:val="19"/>
              </w:rPr>
              <w:t>info@mccbrisbane.org</w:t>
            </w:r>
          </w:p>
        </w:tc>
        <w:tc>
          <w:tcPr>
            <w:tcW w:w="1701" w:type="dxa"/>
          </w:tcPr>
          <w:p w14:paraId="5165AEED">
            <w:pPr>
              <w:spacing w:before="40" w:after="40" w:line="240" w:lineRule="auto"/>
            </w:pPr>
            <w:r>
              <w:rPr>
                <w:sz w:val="19"/>
              </w:rPr>
              <w:t>mccbrisbane.org</w:t>
            </w:r>
          </w:p>
        </w:tc>
        <w:tc>
          <w:tcPr>
            <w:tcW w:w="2608" w:type="dxa"/>
          </w:tcPr>
          <w:p w14:paraId="3AF15AB7">
            <w:pPr>
              <w:spacing w:before="40" w:after="40" w:line="240" w:lineRule="auto"/>
            </w:pPr>
            <w:r>
              <w:rPr>
                <w:sz w:val="19"/>
              </w:rPr>
              <w:t>Brisbane city-wide (office in Newmarket 4051)</w:t>
            </w:r>
          </w:p>
        </w:tc>
        <w:tc>
          <w:tcPr>
            <w:tcW w:w="1701" w:type="dxa"/>
          </w:tcPr>
          <w:p w14:paraId="1CF288F0">
            <w:pPr>
              <w:spacing w:before="40" w:after="40" w:line="240" w:lineRule="auto"/>
            </w:pPr>
            <w:r>
              <w:rPr>
                <w:sz w:val="19"/>
                <w:lang w:val="en-US"/>
              </w:rPr>
              <w:t>REQUIRES VERIFICATION</w:t>
            </w:r>
            <w:r>
              <w:rPr>
                <w:sz w:val="19"/>
              </w:rPr>
              <w:t xml:space="preserve"> — reconfirm current visa/referral rules directly</w:t>
            </w:r>
          </w:p>
        </w:tc>
      </w:tr>
      <w:tr w14:paraId="43BC4F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40" w:type="dxa"/>
            <w:left w:w="80" w:type="dxa"/>
            <w:bottom w:w="40" w:type="dxa"/>
            <w:right w:w="80" w:type="dxa"/>
          </w:tblCellMar>
        </w:tblPrEx>
        <w:trPr>
          <w:jc w:val="center"/>
        </w:trPr>
        <w:tc>
          <w:tcPr>
            <w:tcW w:w="1928" w:type="dxa"/>
            <w:shd w:val="clear" w:color="auto" w:fill="F5F9FC"/>
          </w:tcPr>
          <w:p w14:paraId="179BFAB9">
            <w:pPr>
              <w:spacing w:before="40" w:after="40" w:line="240" w:lineRule="auto"/>
            </w:pPr>
            <w:r>
              <w:rPr>
                <w:sz w:val="19"/>
              </w:rPr>
              <w:t>Refugee and Immigration Legal Service (RAILS)</w:t>
            </w:r>
          </w:p>
        </w:tc>
        <w:tc>
          <w:tcPr>
            <w:tcW w:w="2041" w:type="dxa"/>
          </w:tcPr>
          <w:p w14:paraId="56118E11">
            <w:pPr>
              <w:spacing w:before="40" w:after="40" w:line="240" w:lineRule="auto"/>
            </w:pPr>
            <w:r>
              <w:rPr>
                <w:sz w:val="19"/>
              </w:rPr>
              <w:t>admin@rails.org.au</w:t>
            </w:r>
          </w:p>
        </w:tc>
        <w:tc>
          <w:tcPr>
            <w:tcW w:w="1701" w:type="dxa"/>
          </w:tcPr>
          <w:p w14:paraId="2B2025DD">
            <w:pPr>
              <w:spacing w:before="40" w:after="40" w:line="240" w:lineRule="auto"/>
            </w:pPr>
            <w:r>
              <w:rPr>
                <w:sz w:val="19"/>
              </w:rPr>
              <w:t>rails.org.au</w:t>
            </w:r>
          </w:p>
        </w:tc>
        <w:tc>
          <w:tcPr>
            <w:tcW w:w="2608" w:type="dxa"/>
          </w:tcPr>
          <w:p w14:paraId="4DFB3B61">
            <w:pPr>
              <w:spacing w:before="40" w:after="40" w:line="240" w:lineRule="auto"/>
            </w:pPr>
            <w:r>
              <w:rPr>
                <w:sz w:val="19"/>
              </w:rPr>
              <w:t>Queensland-wide; RFR outreach in Woolloongabba (4102) and Logan</w:t>
            </w:r>
          </w:p>
        </w:tc>
        <w:tc>
          <w:tcPr>
            <w:tcW w:w="1701" w:type="dxa"/>
          </w:tcPr>
          <w:p w14:paraId="2DEE0E62">
            <w:pPr>
              <w:spacing w:before="40" w:after="40" w:line="240" w:lineRule="auto"/>
              <w:rPr>
                <w:rFonts w:hint="default"/>
                <w:lang w:val="en-US"/>
              </w:rPr>
            </w:pPr>
            <w:r>
              <w:rPr>
                <w:sz w:val="19"/>
                <w:lang w:val="en-US"/>
              </w:rPr>
              <w:t>REQUIRES VERIFICATION</w:t>
            </w:r>
          </w:p>
        </w:tc>
      </w:tr>
    </w:tbl>
    <w:p w14:paraId="548F5F2C">
      <w:pPr>
        <w:spacing w:before="0" w:after="120"/>
      </w:pPr>
      <w:r>
        <w:rPr>
          <w:b w:val="0"/>
          <w:i w:val="0"/>
          <w:sz w:val="21"/>
        </w:rPr>
        <w:t>Referrals to SETS can come from HSP providers, community service organisations, medical providers, employment services, training organisations or the general community. Confirm current service areas directly with each provider before referral.</w:t>
      </w:r>
    </w:p>
    <w:p w14:paraId="335991C1">
      <w:r>
        <w:br w:type="page"/>
      </w:r>
    </w:p>
    <w:p w14:paraId="2918FE92">
      <w:pPr>
        <w:pStyle w:val="2"/>
      </w:pPr>
      <w:r>
        <w:rPr>
          <w:color w:val="002B49"/>
        </w:rPr>
        <w:t>ATTACHMENT D — Workforce Australia Service Providers in the Brisbane South East Region (Summary)</w:t>
      </w:r>
    </w:p>
    <w:tbl>
      <w:tblPr>
        <w:tblStyle w:val="35"/>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0" w:type="dxa"/>
          <w:left w:w="80" w:type="dxa"/>
          <w:bottom w:w="40" w:type="dxa"/>
          <w:right w:w="80" w:type="dxa"/>
        </w:tblCellMar>
      </w:tblPr>
      <w:tblGrid>
        <w:gridCol w:w="1928"/>
        <w:gridCol w:w="1928"/>
        <w:gridCol w:w="1928"/>
        <w:gridCol w:w="1928"/>
        <w:gridCol w:w="1928"/>
      </w:tblGrid>
      <w:tr w14:paraId="3BB26C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40" w:type="dxa"/>
            <w:left w:w="80" w:type="dxa"/>
            <w:bottom w:w="40" w:type="dxa"/>
            <w:right w:w="80" w:type="dxa"/>
          </w:tblCellMar>
        </w:tblPrEx>
        <w:trPr>
          <w:tblHeader/>
          <w:jc w:val="center"/>
        </w:trPr>
        <w:tc>
          <w:tcPr>
            <w:tcW w:w="2494" w:type="dxa"/>
            <w:shd w:val="clear" w:color="auto" w:fill="002B49"/>
          </w:tcPr>
          <w:p w14:paraId="359E7D63">
            <w:pPr>
              <w:spacing w:before="40" w:after="40" w:line="240" w:lineRule="auto"/>
            </w:pPr>
            <w:r>
              <w:rPr>
                <w:b/>
                <w:color w:val="FFFFFF"/>
                <w:sz w:val="19"/>
              </w:rPr>
              <w:t>Agency</w:t>
            </w:r>
          </w:p>
        </w:tc>
        <w:tc>
          <w:tcPr>
            <w:tcW w:w="1928" w:type="dxa"/>
            <w:shd w:val="clear" w:color="auto" w:fill="002B49"/>
          </w:tcPr>
          <w:p w14:paraId="11D118BC">
            <w:pPr>
              <w:spacing w:before="40" w:after="40" w:line="240" w:lineRule="auto"/>
            </w:pPr>
            <w:r>
              <w:rPr>
                <w:b/>
                <w:color w:val="FFFFFF"/>
                <w:sz w:val="19"/>
              </w:rPr>
              <w:t>Contract / type</w:t>
            </w:r>
          </w:p>
        </w:tc>
        <w:tc>
          <w:tcPr>
            <w:tcW w:w="2211" w:type="dxa"/>
            <w:shd w:val="clear" w:color="auto" w:fill="002B49"/>
          </w:tcPr>
          <w:p w14:paraId="39A07263">
            <w:pPr>
              <w:spacing w:before="40" w:after="40" w:line="240" w:lineRule="auto"/>
            </w:pPr>
            <w:r>
              <w:rPr>
                <w:b/>
                <w:color w:val="FFFFFF"/>
                <w:sz w:val="19"/>
              </w:rPr>
              <w:t>Locations (scan-recorded)</w:t>
            </w:r>
          </w:p>
        </w:tc>
        <w:tc>
          <w:tcPr>
            <w:tcW w:w="2268" w:type="dxa"/>
            <w:shd w:val="clear" w:color="auto" w:fill="002B49"/>
          </w:tcPr>
          <w:p w14:paraId="646F5DDB">
            <w:pPr>
              <w:spacing w:before="40" w:after="40" w:line="240" w:lineRule="auto"/>
            </w:pPr>
            <w:r>
              <w:rPr>
                <w:b/>
                <w:color w:val="FFFFFF"/>
                <w:sz w:val="19"/>
              </w:rPr>
              <w:t>Contact</w:t>
            </w:r>
          </w:p>
        </w:tc>
        <w:tc>
          <w:tcPr>
            <w:tcW w:w="1361" w:type="dxa"/>
            <w:shd w:val="clear" w:color="auto" w:fill="002B49"/>
          </w:tcPr>
          <w:p w14:paraId="69A9F2A1">
            <w:pPr>
              <w:spacing w:before="40" w:after="40" w:line="240" w:lineRule="auto"/>
            </w:pPr>
            <w:r>
              <w:rPr>
                <w:b/>
                <w:color w:val="FFFFFF"/>
                <w:sz w:val="19"/>
              </w:rPr>
              <w:t>Status</w:t>
            </w:r>
          </w:p>
        </w:tc>
      </w:tr>
      <w:tr w14:paraId="0BC4CB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40" w:type="dxa"/>
            <w:left w:w="80" w:type="dxa"/>
            <w:bottom w:w="40" w:type="dxa"/>
            <w:right w:w="80" w:type="dxa"/>
          </w:tblCellMar>
        </w:tblPrEx>
        <w:trPr>
          <w:jc w:val="center"/>
        </w:trPr>
        <w:tc>
          <w:tcPr>
            <w:tcW w:w="2494" w:type="dxa"/>
            <w:shd w:val="clear" w:color="auto" w:fill="F5F9FC"/>
          </w:tcPr>
          <w:p w14:paraId="74394A40">
            <w:pPr>
              <w:spacing w:before="40" w:after="40" w:line="240" w:lineRule="auto"/>
            </w:pPr>
            <w:r>
              <w:rPr>
                <w:sz w:val="19"/>
              </w:rPr>
              <w:t>WES.jobs (WorkPac Employment Services)</w:t>
            </w:r>
          </w:p>
        </w:tc>
        <w:tc>
          <w:tcPr>
            <w:tcW w:w="1928" w:type="dxa"/>
          </w:tcPr>
          <w:p w14:paraId="0BC3CEB8">
            <w:pPr>
              <w:spacing w:before="40" w:after="40" w:line="240" w:lineRule="auto"/>
            </w:pPr>
            <w:r>
              <w:rPr>
                <w:sz w:val="19"/>
              </w:rPr>
              <w:t>Workforce Australia Employment Services</w:t>
            </w:r>
          </w:p>
        </w:tc>
        <w:tc>
          <w:tcPr>
            <w:tcW w:w="2211" w:type="dxa"/>
          </w:tcPr>
          <w:p w14:paraId="2193270E">
            <w:pPr>
              <w:spacing w:before="40" w:after="40" w:line="240" w:lineRule="auto"/>
            </w:pPr>
            <w:r>
              <w:rPr>
                <w:sz w:val="19"/>
              </w:rPr>
              <w:t>Beaudesert, Browns Plains, Cleveland, Mt Gravatt, Tingalpa, Woodridge</w:t>
            </w:r>
          </w:p>
        </w:tc>
        <w:tc>
          <w:tcPr>
            <w:tcW w:w="2268" w:type="dxa"/>
          </w:tcPr>
          <w:p w14:paraId="72D04E86">
            <w:pPr>
              <w:spacing w:before="40" w:after="40" w:line="240" w:lineRule="auto"/>
            </w:pPr>
            <w:r>
              <w:rPr>
                <w:sz w:val="19"/>
              </w:rPr>
              <w:t>1800 111 937; mountgravatt@wes.jobs; wes.jobs</w:t>
            </w:r>
          </w:p>
        </w:tc>
        <w:tc>
          <w:tcPr>
            <w:tcW w:w="1361" w:type="dxa"/>
          </w:tcPr>
          <w:p w14:paraId="186E4E1B">
            <w:pPr>
              <w:spacing w:before="40" w:after="40" w:line="240" w:lineRule="auto"/>
            </w:pPr>
            <w:r>
              <w:rPr>
                <w:sz w:val="19"/>
              </w:rPr>
              <w:t>REQUIRES VERIFICATION</w:t>
            </w:r>
          </w:p>
        </w:tc>
      </w:tr>
      <w:tr w14:paraId="4EEBBE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40" w:type="dxa"/>
            <w:left w:w="80" w:type="dxa"/>
            <w:bottom w:w="40" w:type="dxa"/>
            <w:right w:w="80" w:type="dxa"/>
          </w:tblCellMar>
        </w:tblPrEx>
        <w:trPr>
          <w:jc w:val="center"/>
        </w:trPr>
        <w:tc>
          <w:tcPr>
            <w:tcW w:w="2494" w:type="dxa"/>
            <w:shd w:val="clear" w:color="auto" w:fill="F5F9FC"/>
          </w:tcPr>
          <w:p w14:paraId="3C936593">
            <w:pPr>
              <w:spacing w:before="40" w:after="40" w:line="240" w:lineRule="auto"/>
            </w:pPr>
            <w:r>
              <w:rPr>
                <w:sz w:val="19"/>
              </w:rPr>
              <w:t>Workways Australia</w:t>
            </w:r>
          </w:p>
        </w:tc>
        <w:tc>
          <w:tcPr>
            <w:tcW w:w="1928" w:type="dxa"/>
          </w:tcPr>
          <w:p w14:paraId="494A8083">
            <w:pPr>
              <w:spacing w:before="40" w:after="40" w:line="240" w:lineRule="auto"/>
            </w:pPr>
            <w:r>
              <w:rPr>
                <w:sz w:val="19"/>
              </w:rPr>
              <w:t>Workforce Australia Employment Services</w:t>
            </w:r>
          </w:p>
        </w:tc>
        <w:tc>
          <w:tcPr>
            <w:tcW w:w="2211" w:type="dxa"/>
          </w:tcPr>
          <w:p w14:paraId="4F8DFC1E">
            <w:pPr>
              <w:spacing w:before="40" w:after="40" w:line="240" w:lineRule="auto"/>
            </w:pPr>
            <w:r>
              <w:rPr>
                <w:sz w:val="19"/>
              </w:rPr>
              <w:t>Upper Mount Gravatt; Greenslopes (Stones Corner); Logan Central (Woodridge)</w:t>
            </w:r>
          </w:p>
        </w:tc>
        <w:tc>
          <w:tcPr>
            <w:tcW w:w="2268" w:type="dxa"/>
          </w:tcPr>
          <w:p w14:paraId="4C35B31A">
            <w:pPr>
              <w:spacing w:before="40" w:after="40" w:line="240" w:lineRule="auto"/>
            </w:pPr>
            <w:r>
              <w:rPr>
                <w:sz w:val="19"/>
              </w:rPr>
              <w:t>1800 631 196; workways.com.au</w:t>
            </w:r>
          </w:p>
        </w:tc>
        <w:tc>
          <w:tcPr>
            <w:tcW w:w="1361" w:type="dxa"/>
          </w:tcPr>
          <w:p w14:paraId="593B8295">
            <w:pPr>
              <w:spacing w:before="40" w:after="40" w:line="240" w:lineRule="auto"/>
            </w:pPr>
            <w:r>
              <w:rPr>
                <w:sz w:val="19"/>
              </w:rPr>
              <w:t>REQUIRES VERIFICATION</w:t>
            </w:r>
          </w:p>
        </w:tc>
      </w:tr>
      <w:tr w14:paraId="615265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40" w:type="dxa"/>
            <w:left w:w="80" w:type="dxa"/>
            <w:bottom w:w="40" w:type="dxa"/>
            <w:right w:w="80" w:type="dxa"/>
          </w:tblCellMar>
        </w:tblPrEx>
        <w:trPr>
          <w:jc w:val="center"/>
        </w:trPr>
        <w:tc>
          <w:tcPr>
            <w:tcW w:w="2494" w:type="dxa"/>
            <w:shd w:val="clear" w:color="auto" w:fill="F5F9FC"/>
          </w:tcPr>
          <w:p w14:paraId="37D7C953">
            <w:pPr>
              <w:spacing w:before="40" w:after="40" w:line="240" w:lineRule="auto"/>
            </w:pPr>
            <w:r>
              <w:rPr>
                <w:sz w:val="19"/>
              </w:rPr>
              <w:t>CoAct Connect + BUSY At Work</w:t>
            </w:r>
          </w:p>
        </w:tc>
        <w:tc>
          <w:tcPr>
            <w:tcW w:w="1928" w:type="dxa"/>
          </w:tcPr>
          <w:p w14:paraId="28FC0402">
            <w:pPr>
              <w:spacing w:before="40" w:after="40" w:line="240" w:lineRule="auto"/>
            </w:pPr>
            <w:r>
              <w:rPr>
                <w:sz w:val="19"/>
              </w:rPr>
              <w:t>Workforce Australia Employment Services</w:t>
            </w:r>
          </w:p>
        </w:tc>
        <w:tc>
          <w:tcPr>
            <w:tcW w:w="2211" w:type="dxa"/>
          </w:tcPr>
          <w:p w14:paraId="63643620">
            <w:pPr>
              <w:spacing w:before="40" w:after="40" w:line="240" w:lineRule="auto"/>
            </w:pPr>
            <w:r>
              <w:rPr>
                <w:sz w:val="19"/>
              </w:rPr>
              <w:t>Upper Mount Gravatt and Brisbane South East postcode network</w:t>
            </w:r>
          </w:p>
        </w:tc>
        <w:tc>
          <w:tcPr>
            <w:tcW w:w="2268" w:type="dxa"/>
          </w:tcPr>
          <w:p w14:paraId="02CADB68">
            <w:pPr>
              <w:spacing w:before="40" w:after="40" w:line="240" w:lineRule="auto"/>
            </w:pPr>
            <w:r>
              <w:rPr>
                <w:sz w:val="19"/>
              </w:rPr>
              <w:t>1800 161 335; hello@coact.org.au; coact.org.au</w:t>
            </w:r>
          </w:p>
        </w:tc>
        <w:tc>
          <w:tcPr>
            <w:tcW w:w="1361" w:type="dxa"/>
          </w:tcPr>
          <w:p w14:paraId="7B0CD7EC">
            <w:pPr>
              <w:spacing w:before="40" w:after="40" w:line="240" w:lineRule="auto"/>
            </w:pPr>
            <w:r>
              <w:rPr>
                <w:sz w:val="19"/>
              </w:rPr>
              <w:t>REQUIRES VERIFICATION</w:t>
            </w:r>
          </w:p>
        </w:tc>
      </w:tr>
      <w:tr w14:paraId="7F81E4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40" w:type="dxa"/>
            <w:left w:w="80" w:type="dxa"/>
            <w:bottom w:w="40" w:type="dxa"/>
            <w:right w:w="80" w:type="dxa"/>
          </w:tblCellMar>
        </w:tblPrEx>
        <w:trPr>
          <w:jc w:val="center"/>
        </w:trPr>
        <w:tc>
          <w:tcPr>
            <w:tcW w:w="2494" w:type="dxa"/>
            <w:shd w:val="clear" w:color="auto" w:fill="F5F9FC"/>
          </w:tcPr>
          <w:p w14:paraId="55821246">
            <w:pPr>
              <w:spacing w:before="40" w:after="40" w:line="240" w:lineRule="auto"/>
            </w:pPr>
            <w:r>
              <w:rPr>
                <w:sz w:val="19"/>
              </w:rPr>
              <w:t>APM Employment Services</w:t>
            </w:r>
          </w:p>
        </w:tc>
        <w:tc>
          <w:tcPr>
            <w:tcW w:w="1928" w:type="dxa"/>
          </w:tcPr>
          <w:p w14:paraId="703858AA">
            <w:pPr>
              <w:spacing w:before="40" w:after="40" w:line="240" w:lineRule="auto"/>
            </w:pPr>
            <w:r>
              <w:rPr>
                <w:sz w:val="19"/>
              </w:rPr>
              <w:t>Generalist + specialist CALD support</w:t>
            </w:r>
          </w:p>
        </w:tc>
        <w:tc>
          <w:tcPr>
            <w:tcW w:w="2211" w:type="dxa"/>
          </w:tcPr>
          <w:p w14:paraId="00789C03">
            <w:pPr>
              <w:spacing w:before="40" w:after="40" w:line="240" w:lineRule="auto"/>
            </w:pPr>
            <w:r>
              <w:rPr>
                <w:sz w:val="19"/>
              </w:rPr>
              <w:t>Mount Gravatt, Springwood, Inala, Woodridge, Logan hubs</w:t>
            </w:r>
          </w:p>
        </w:tc>
        <w:tc>
          <w:tcPr>
            <w:tcW w:w="2268" w:type="dxa"/>
          </w:tcPr>
          <w:p w14:paraId="31340DF4">
            <w:pPr>
              <w:spacing w:before="40" w:after="40" w:line="240" w:lineRule="auto"/>
            </w:pPr>
            <w:r>
              <w:rPr>
                <w:sz w:val="19"/>
              </w:rPr>
              <w:t>1800 276 932 / 1800 276 276; support@apm.net.au</w:t>
            </w:r>
          </w:p>
        </w:tc>
        <w:tc>
          <w:tcPr>
            <w:tcW w:w="1361" w:type="dxa"/>
          </w:tcPr>
          <w:p w14:paraId="31FA5C13">
            <w:pPr>
              <w:spacing w:before="40" w:after="40" w:line="240" w:lineRule="auto"/>
            </w:pPr>
            <w:r>
              <w:rPr>
                <w:sz w:val="19"/>
              </w:rPr>
              <w:t>REQUIRES VERIFICATION</w:t>
            </w:r>
          </w:p>
        </w:tc>
      </w:tr>
      <w:tr w14:paraId="7753FB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40" w:type="dxa"/>
            <w:left w:w="80" w:type="dxa"/>
            <w:bottom w:w="40" w:type="dxa"/>
            <w:right w:w="80" w:type="dxa"/>
          </w:tblCellMar>
        </w:tblPrEx>
        <w:trPr>
          <w:jc w:val="center"/>
        </w:trPr>
        <w:tc>
          <w:tcPr>
            <w:tcW w:w="2494" w:type="dxa"/>
            <w:shd w:val="clear" w:color="auto" w:fill="F5F9FC"/>
          </w:tcPr>
          <w:p w14:paraId="5B4624F3">
            <w:pPr>
              <w:spacing w:before="40" w:after="40" w:line="240" w:lineRule="auto"/>
            </w:pPr>
            <w:r>
              <w:rPr>
                <w:sz w:val="19"/>
              </w:rPr>
              <w:t>atWork Australia</w:t>
            </w:r>
          </w:p>
        </w:tc>
        <w:tc>
          <w:tcPr>
            <w:tcW w:w="1928" w:type="dxa"/>
          </w:tcPr>
          <w:p w14:paraId="499998CF">
            <w:pPr>
              <w:spacing w:before="40" w:after="40" w:line="240" w:lineRule="auto"/>
            </w:pPr>
            <w:r>
              <w:rPr>
                <w:sz w:val="19"/>
              </w:rPr>
              <w:t>Generalist and inclusive employment</w:t>
            </w:r>
          </w:p>
        </w:tc>
        <w:tc>
          <w:tcPr>
            <w:tcW w:w="2211" w:type="dxa"/>
          </w:tcPr>
          <w:p w14:paraId="67A80330">
            <w:pPr>
              <w:spacing w:before="40" w:after="40" w:line="240" w:lineRule="auto"/>
            </w:pPr>
            <w:r>
              <w:rPr>
                <w:sz w:val="19"/>
              </w:rPr>
              <w:t>Upper Mount Gravatt, Logan and surrounding Brisbane South sites</w:t>
            </w:r>
          </w:p>
        </w:tc>
        <w:tc>
          <w:tcPr>
            <w:tcW w:w="2268" w:type="dxa"/>
          </w:tcPr>
          <w:p w14:paraId="40355B31">
            <w:pPr>
              <w:spacing w:before="40" w:after="40" w:line="240" w:lineRule="auto"/>
            </w:pPr>
            <w:r>
              <w:rPr>
                <w:sz w:val="19"/>
              </w:rPr>
              <w:t>1300 080 856; contact@atworkaustralia.com.au</w:t>
            </w:r>
          </w:p>
        </w:tc>
        <w:tc>
          <w:tcPr>
            <w:tcW w:w="1361" w:type="dxa"/>
          </w:tcPr>
          <w:p w14:paraId="23AC87B6">
            <w:pPr>
              <w:spacing w:before="40" w:after="40" w:line="240" w:lineRule="auto"/>
            </w:pPr>
            <w:r>
              <w:rPr>
                <w:sz w:val="19"/>
              </w:rPr>
              <w:t>REQUIRES VERIFICATION</w:t>
            </w:r>
          </w:p>
        </w:tc>
      </w:tr>
      <w:tr w14:paraId="48063E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40" w:type="dxa"/>
            <w:left w:w="80" w:type="dxa"/>
            <w:bottom w:w="40" w:type="dxa"/>
            <w:right w:w="80" w:type="dxa"/>
          </w:tblCellMar>
        </w:tblPrEx>
        <w:trPr>
          <w:jc w:val="center"/>
        </w:trPr>
        <w:tc>
          <w:tcPr>
            <w:tcW w:w="2494" w:type="dxa"/>
            <w:shd w:val="clear" w:color="auto" w:fill="F5F9FC"/>
          </w:tcPr>
          <w:p w14:paraId="1D07CAF6">
            <w:pPr>
              <w:spacing w:before="40" w:after="40" w:line="240" w:lineRule="auto"/>
            </w:pPr>
            <w:r>
              <w:rPr>
                <w:sz w:val="19"/>
              </w:rPr>
              <w:t>WISE Employment</w:t>
            </w:r>
          </w:p>
        </w:tc>
        <w:tc>
          <w:tcPr>
            <w:tcW w:w="1928" w:type="dxa"/>
          </w:tcPr>
          <w:p w14:paraId="1F8830AD">
            <w:pPr>
              <w:spacing w:before="40" w:after="40" w:line="240" w:lineRule="auto"/>
            </w:pPr>
            <w:r>
              <w:rPr>
                <w:sz w:val="19"/>
              </w:rPr>
              <w:t>Specialised job coaching</w:t>
            </w:r>
          </w:p>
        </w:tc>
        <w:tc>
          <w:tcPr>
            <w:tcW w:w="2211" w:type="dxa"/>
          </w:tcPr>
          <w:p w14:paraId="40388DF0">
            <w:pPr>
              <w:spacing w:before="40" w:after="40" w:line="240" w:lineRule="auto"/>
            </w:pPr>
            <w:r>
              <w:rPr>
                <w:sz w:val="19"/>
              </w:rPr>
              <w:t>Greater Brisbane and South East Queensland</w:t>
            </w:r>
          </w:p>
        </w:tc>
        <w:tc>
          <w:tcPr>
            <w:tcW w:w="2268" w:type="dxa"/>
          </w:tcPr>
          <w:p w14:paraId="5EB8AAE2">
            <w:pPr>
              <w:spacing w:before="40" w:after="40" w:line="240" w:lineRule="auto"/>
            </w:pPr>
            <w:r>
              <w:rPr>
                <w:sz w:val="19"/>
              </w:rPr>
              <w:t>1800 685 105; wiseemployment@wise.org.au</w:t>
            </w:r>
          </w:p>
        </w:tc>
        <w:tc>
          <w:tcPr>
            <w:tcW w:w="1361" w:type="dxa"/>
          </w:tcPr>
          <w:p w14:paraId="587FBCCC">
            <w:pPr>
              <w:spacing w:before="40" w:after="40" w:line="240" w:lineRule="auto"/>
            </w:pPr>
            <w:r>
              <w:rPr>
                <w:sz w:val="19"/>
              </w:rPr>
              <w:t>REQUIRES VERIFICATION</w:t>
            </w:r>
          </w:p>
        </w:tc>
      </w:tr>
    </w:tbl>
    <w:p w14:paraId="4DE47915">
      <w:pPr>
        <w:spacing w:before="0" w:after="120"/>
      </w:pPr>
      <w:r>
        <w:rPr>
          <w:b w:val="0"/>
          <w:i w:val="0"/>
          <w:sz w:val="21"/>
        </w:rPr>
        <w:t>Confirm the current provider for a participant's postcode via the Workforce Australia 'Find a provider' search before referral.</w:t>
      </w:r>
    </w:p>
    <w:p w14:paraId="69C17091">
      <w:r>
        <w:br w:type="page"/>
      </w:r>
    </w:p>
    <w:p w14:paraId="05F59EA7">
      <w:pPr>
        <w:pStyle w:val="2"/>
      </w:pPr>
      <w:r>
        <w:rPr>
          <w:color w:val="002B49"/>
        </w:rPr>
        <w:t>ATTACHMENT E — AMEP, SEE and English/Foundation Skills Providers in the Region (Summary)</w:t>
      </w:r>
    </w:p>
    <w:tbl>
      <w:tblPr>
        <w:tblStyle w:val="35"/>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0" w:type="dxa"/>
          <w:left w:w="80" w:type="dxa"/>
          <w:bottom w:w="40" w:type="dxa"/>
          <w:right w:w="80" w:type="dxa"/>
        </w:tblCellMar>
      </w:tblPr>
      <w:tblGrid>
        <w:gridCol w:w="1928"/>
        <w:gridCol w:w="1928"/>
        <w:gridCol w:w="1928"/>
        <w:gridCol w:w="1928"/>
        <w:gridCol w:w="1928"/>
      </w:tblGrid>
      <w:tr w14:paraId="15AC89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40" w:type="dxa"/>
            <w:left w:w="80" w:type="dxa"/>
            <w:bottom w:w="40" w:type="dxa"/>
            <w:right w:w="80" w:type="dxa"/>
          </w:tblCellMar>
        </w:tblPrEx>
        <w:trPr>
          <w:tblHeader/>
          <w:jc w:val="center"/>
        </w:trPr>
        <w:tc>
          <w:tcPr>
            <w:tcW w:w="1474" w:type="dxa"/>
            <w:shd w:val="clear" w:color="auto" w:fill="002B49"/>
          </w:tcPr>
          <w:p w14:paraId="1FC4FD54">
            <w:pPr>
              <w:spacing w:before="40" w:after="40" w:line="240" w:lineRule="auto"/>
            </w:pPr>
            <w:r>
              <w:rPr>
                <w:b/>
                <w:color w:val="FFFFFF"/>
                <w:sz w:val="19"/>
              </w:rPr>
              <w:t>Program</w:t>
            </w:r>
          </w:p>
        </w:tc>
        <w:tc>
          <w:tcPr>
            <w:tcW w:w="2041" w:type="dxa"/>
            <w:shd w:val="clear" w:color="auto" w:fill="002B49"/>
          </w:tcPr>
          <w:p w14:paraId="69B3D1B5">
            <w:pPr>
              <w:spacing w:before="40" w:after="40" w:line="240" w:lineRule="auto"/>
            </w:pPr>
            <w:r>
              <w:rPr>
                <w:b/>
                <w:color w:val="FFFFFF"/>
                <w:sz w:val="19"/>
              </w:rPr>
              <w:t>Provider</w:t>
            </w:r>
          </w:p>
        </w:tc>
        <w:tc>
          <w:tcPr>
            <w:tcW w:w="2494" w:type="dxa"/>
            <w:shd w:val="clear" w:color="auto" w:fill="002B49"/>
          </w:tcPr>
          <w:p w14:paraId="122EA632">
            <w:pPr>
              <w:spacing w:before="40" w:after="40" w:line="240" w:lineRule="auto"/>
            </w:pPr>
            <w:r>
              <w:rPr>
                <w:b/>
                <w:color w:val="FFFFFF"/>
                <w:sz w:val="19"/>
              </w:rPr>
              <w:t>Brisbane South East sites</w:t>
            </w:r>
          </w:p>
        </w:tc>
        <w:tc>
          <w:tcPr>
            <w:tcW w:w="2494" w:type="dxa"/>
            <w:shd w:val="clear" w:color="auto" w:fill="002B49"/>
          </w:tcPr>
          <w:p w14:paraId="113E6399">
            <w:pPr>
              <w:spacing w:before="40" w:after="40" w:line="240" w:lineRule="auto"/>
            </w:pPr>
            <w:r>
              <w:rPr>
                <w:b/>
                <w:color w:val="FFFFFF"/>
                <w:sz w:val="19"/>
              </w:rPr>
              <w:t>Contact</w:t>
            </w:r>
          </w:p>
        </w:tc>
        <w:tc>
          <w:tcPr>
            <w:tcW w:w="1361" w:type="dxa"/>
            <w:shd w:val="clear" w:color="auto" w:fill="002B49"/>
          </w:tcPr>
          <w:p w14:paraId="77FD850D">
            <w:pPr>
              <w:spacing w:before="40" w:after="40" w:line="240" w:lineRule="auto"/>
            </w:pPr>
            <w:r>
              <w:rPr>
                <w:b/>
                <w:color w:val="FFFFFF"/>
                <w:sz w:val="19"/>
              </w:rPr>
              <w:t>Status</w:t>
            </w:r>
          </w:p>
        </w:tc>
      </w:tr>
      <w:tr w14:paraId="5BA363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40" w:type="dxa"/>
            <w:left w:w="80" w:type="dxa"/>
            <w:bottom w:w="40" w:type="dxa"/>
            <w:right w:w="80" w:type="dxa"/>
          </w:tblCellMar>
        </w:tblPrEx>
        <w:trPr>
          <w:jc w:val="center"/>
        </w:trPr>
        <w:tc>
          <w:tcPr>
            <w:tcW w:w="1474" w:type="dxa"/>
            <w:shd w:val="clear" w:color="auto" w:fill="F5F9FC"/>
          </w:tcPr>
          <w:p w14:paraId="59188F7F">
            <w:pPr>
              <w:spacing w:before="40" w:after="40" w:line="240" w:lineRule="auto"/>
            </w:pPr>
            <w:r>
              <w:rPr>
                <w:sz w:val="19"/>
              </w:rPr>
              <w:t>AMEP</w:t>
            </w:r>
          </w:p>
        </w:tc>
        <w:tc>
          <w:tcPr>
            <w:tcW w:w="2041" w:type="dxa"/>
          </w:tcPr>
          <w:p w14:paraId="5AA575EE">
            <w:pPr>
              <w:spacing w:before="40" w:after="40" w:line="240" w:lineRule="auto"/>
            </w:pPr>
            <w:r>
              <w:rPr>
                <w:sz w:val="19"/>
              </w:rPr>
              <w:t>TAFE Queensland</w:t>
            </w:r>
          </w:p>
        </w:tc>
        <w:tc>
          <w:tcPr>
            <w:tcW w:w="2494" w:type="dxa"/>
          </w:tcPr>
          <w:p w14:paraId="412E8E44">
            <w:pPr>
              <w:spacing w:before="40" w:after="40" w:line="240" w:lineRule="auto"/>
            </w:pPr>
            <w:r>
              <w:rPr>
                <w:sz w:val="19"/>
              </w:rPr>
              <w:t>Mount Gravatt (4122); Loganlea/Meadowbrook (4131)</w:t>
            </w:r>
          </w:p>
        </w:tc>
        <w:tc>
          <w:tcPr>
            <w:tcW w:w="2494" w:type="dxa"/>
          </w:tcPr>
          <w:p w14:paraId="57B41B95">
            <w:pPr>
              <w:spacing w:before="40" w:after="40" w:line="240" w:lineRule="auto"/>
            </w:pPr>
            <w:r>
              <w:rPr>
                <w:sz w:val="19"/>
              </w:rPr>
              <w:t>1300 308 233; TAFE.Communication@tafeqld.edu.au</w:t>
            </w:r>
          </w:p>
        </w:tc>
        <w:tc>
          <w:tcPr>
            <w:tcW w:w="1361" w:type="dxa"/>
          </w:tcPr>
          <w:p w14:paraId="10F56814">
            <w:pPr>
              <w:spacing w:before="40" w:after="40" w:line="240" w:lineRule="auto"/>
            </w:pPr>
            <w:r>
              <w:rPr>
                <w:sz w:val="19"/>
              </w:rPr>
              <w:t>REQUIRES VERIFICATION</w:t>
            </w:r>
          </w:p>
        </w:tc>
      </w:tr>
      <w:tr w14:paraId="3F6D49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40" w:type="dxa"/>
            <w:left w:w="80" w:type="dxa"/>
            <w:bottom w:w="40" w:type="dxa"/>
            <w:right w:w="80" w:type="dxa"/>
          </w:tblCellMar>
        </w:tblPrEx>
        <w:trPr>
          <w:jc w:val="center"/>
        </w:trPr>
        <w:tc>
          <w:tcPr>
            <w:tcW w:w="1474" w:type="dxa"/>
            <w:shd w:val="clear" w:color="auto" w:fill="F5F9FC"/>
          </w:tcPr>
          <w:p w14:paraId="10C75121">
            <w:pPr>
              <w:spacing w:before="40" w:after="40" w:line="240" w:lineRule="auto"/>
            </w:pPr>
            <w:r>
              <w:rPr>
                <w:sz w:val="19"/>
              </w:rPr>
              <w:t>AMEP</w:t>
            </w:r>
          </w:p>
        </w:tc>
        <w:tc>
          <w:tcPr>
            <w:tcW w:w="2041" w:type="dxa"/>
          </w:tcPr>
          <w:p w14:paraId="1277FE77">
            <w:pPr>
              <w:spacing w:before="40" w:after="40" w:line="240" w:lineRule="auto"/>
            </w:pPr>
            <w:r>
              <w:rPr>
                <w:sz w:val="19"/>
              </w:rPr>
              <w:t>MAX Solutions (MAX Employment)</w:t>
            </w:r>
          </w:p>
        </w:tc>
        <w:tc>
          <w:tcPr>
            <w:tcW w:w="2494" w:type="dxa"/>
          </w:tcPr>
          <w:p w14:paraId="1E380CCD">
            <w:pPr>
              <w:spacing w:before="40" w:after="40" w:line="240" w:lineRule="auto"/>
            </w:pPr>
            <w:r>
              <w:rPr>
                <w:sz w:val="19"/>
              </w:rPr>
              <w:t>Logan, Inala, Upper Mount Gravatt (scan-recorded)</w:t>
            </w:r>
          </w:p>
        </w:tc>
        <w:tc>
          <w:tcPr>
            <w:tcW w:w="2494" w:type="dxa"/>
          </w:tcPr>
          <w:p w14:paraId="18FADFD1">
            <w:pPr>
              <w:spacing w:before="40" w:after="40" w:line="240" w:lineRule="auto"/>
            </w:pPr>
            <w:r>
              <w:rPr>
                <w:sz w:val="19"/>
              </w:rPr>
              <w:t>1800 021 560; info@maxsolutions.com.au</w:t>
            </w:r>
          </w:p>
        </w:tc>
        <w:tc>
          <w:tcPr>
            <w:tcW w:w="1361" w:type="dxa"/>
          </w:tcPr>
          <w:p w14:paraId="75B62803">
            <w:pPr>
              <w:spacing w:before="40" w:after="40" w:line="240" w:lineRule="auto"/>
            </w:pPr>
            <w:r>
              <w:rPr>
                <w:sz w:val="19"/>
              </w:rPr>
              <w:t>REQUIRES VERIFICATION</w:t>
            </w:r>
          </w:p>
        </w:tc>
      </w:tr>
      <w:tr w14:paraId="312A42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40" w:type="dxa"/>
            <w:left w:w="80" w:type="dxa"/>
            <w:bottom w:w="40" w:type="dxa"/>
            <w:right w:w="80" w:type="dxa"/>
          </w:tblCellMar>
        </w:tblPrEx>
        <w:trPr>
          <w:jc w:val="center"/>
        </w:trPr>
        <w:tc>
          <w:tcPr>
            <w:tcW w:w="1474" w:type="dxa"/>
            <w:shd w:val="clear" w:color="auto" w:fill="F5F9FC"/>
          </w:tcPr>
          <w:p w14:paraId="13AD759D">
            <w:pPr>
              <w:spacing w:before="40" w:after="40" w:line="240" w:lineRule="auto"/>
            </w:pPr>
            <w:r>
              <w:rPr>
                <w:sz w:val="19"/>
              </w:rPr>
              <w:t>AMEP</w:t>
            </w:r>
          </w:p>
        </w:tc>
        <w:tc>
          <w:tcPr>
            <w:tcW w:w="2041" w:type="dxa"/>
          </w:tcPr>
          <w:p w14:paraId="38613E4A">
            <w:pPr>
              <w:spacing w:before="40" w:after="40" w:line="240" w:lineRule="auto"/>
            </w:pPr>
            <w:r>
              <w:rPr>
                <w:sz w:val="19"/>
              </w:rPr>
              <w:t>STEPS Group Australia</w:t>
            </w:r>
          </w:p>
        </w:tc>
        <w:tc>
          <w:tcPr>
            <w:tcW w:w="2494" w:type="dxa"/>
          </w:tcPr>
          <w:p w14:paraId="12C88492">
            <w:pPr>
              <w:spacing w:before="40" w:after="40" w:line="240" w:lineRule="auto"/>
            </w:pPr>
            <w:r>
              <w:rPr>
                <w:sz w:val="19"/>
              </w:rPr>
              <w:t>South East Queensland regional hubs and distance learners</w:t>
            </w:r>
          </w:p>
        </w:tc>
        <w:tc>
          <w:tcPr>
            <w:tcW w:w="2494" w:type="dxa"/>
          </w:tcPr>
          <w:p w14:paraId="69F8DB01">
            <w:pPr>
              <w:spacing w:before="40" w:after="40" w:line="240" w:lineRule="auto"/>
            </w:pPr>
            <w:r>
              <w:rPr>
                <w:sz w:val="19"/>
              </w:rPr>
              <w:t>1300 131 965; amep@stepsgroup.com.au</w:t>
            </w:r>
          </w:p>
        </w:tc>
        <w:tc>
          <w:tcPr>
            <w:tcW w:w="1361" w:type="dxa"/>
          </w:tcPr>
          <w:p w14:paraId="1F17216F">
            <w:pPr>
              <w:spacing w:before="40" w:after="40" w:line="240" w:lineRule="auto"/>
            </w:pPr>
            <w:r>
              <w:rPr>
                <w:sz w:val="19"/>
              </w:rPr>
              <w:t>REQUIRES VERIFICATION</w:t>
            </w:r>
          </w:p>
        </w:tc>
      </w:tr>
      <w:tr w14:paraId="6DC5CC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40" w:type="dxa"/>
            <w:left w:w="80" w:type="dxa"/>
            <w:bottom w:w="40" w:type="dxa"/>
            <w:right w:w="80" w:type="dxa"/>
          </w:tblCellMar>
        </w:tblPrEx>
        <w:trPr>
          <w:jc w:val="center"/>
        </w:trPr>
        <w:tc>
          <w:tcPr>
            <w:tcW w:w="1474" w:type="dxa"/>
            <w:shd w:val="clear" w:color="auto" w:fill="F5F9FC"/>
          </w:tcPr>
          <w:p w14:paraId="72D85F45">
            <w:pPr>
              <w:spacing w:before="40" w:after="40" w:line="240" w:lineRule="auto"/>
            </w:pPr>
            <w:r>
              <w:rPr>
                <w:sz w:val="19"/>
              </w:rPr>
              <w:t>SEE</w:t>
            </w:r>
          </w:p>
        </w:tc>
        <w:tc>
          <w:tcPr>
            <w:tcW w:w="2041" w:type="dxa"/>
          </w:tcPr>
          <w:p w14:paraId="01301E0A">
            <w:pPr>
              <w:spacing w:before="40" w:after="40" w:line="240" w:lineRule="auto"/>
            </w:pPr>
            <w:r>
              <w:rPr>
                <w:sz w:val="19"/>
              </w:rPr>
              <w:t>TAFE Queensland</w:t>
            </w:r>
          </w:p>
        </w:tc>
        <w:tc>
          <w:tcPr>
            <w:tcW w:w="2494" w:type="dxa"/>
          </w:tcPr>
          <w:p w14:paraId="53E2A7CC">
            <w:pPr>
              <w:spacing w:before="40" w:after="40" w:line="240" w:lineRule="auto"/>
            </w:pPr>
            <w:r>
              <w:rPr>
                <w:sz w:val="19"/>
              </w:rPr>
              <w:t>South Bank (4101); Loganlea (4131)</w:t>
            </w:r>
          </w:p>
        </w:tc>
        <w:tc>
          <w:tcPr>
            <w:tcW w:w="2494" w:type="dxa"/>
          </w:tcPr>
          <w:p w14:paraId="0B1FC535">
            <w:pPr>
              <w:spacing w:before="40" w:after="40" w:line="240" w:lineRule="auto"/>
            </w:pPr>
            <w:r>
              <w:rPr>
                <w:sz w:val="19"/>
              </w:rPr>
              <w:t>1300 308 233; see.logan@tafeqld.edu.au</w:t>
            </w:r>
          </w:p>
        </w:tc>
        <w:tc>
          <w:tcPr>
            <w:tcW w:w="1361" w:type="dxa"/>
          </w:tcPr>
          <w:p w14:paraId="2C3FAF2A">
            <w:pPr>
              <w:spacing w:before="40" w:after="40" w:line="240" w:lineRule="auto"/>
            </w:pPr>
            <w:r>
              <w:rPr>
                <w:sz w:val="19"/>
              </w:rPr>
              <w:t>REQUIRES VERIFICATION</w:t>
            </w:r>
          </w:p>
        </w:tc>
      </w:tr>
      <w:tr w14:paraId="7EF952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40" w:type="dxa"/>
            <w:left w:w="80" w:type="dxa"/>
            <w:bottom w:w="40" w:type="dxa"/>
            <w:right w:w="80" w:type="dxa"/>
          </w:tblCellMar>
        </w:tblPrEx>
        <w:trPr>
          <w:jc w:val="center"/>
        </w:trPr>
        <w:tc>
          <w:tcPr>
            <w:tcW w:w="1474" w:type="dxa"/>
            <w:shd w:val="clear" w:color="auto" w:fill="F5F9FC"/>
          </w:tcPr>
          <w:p w14:paraId="6CBD431D">
            <w:pPr>
              <w:spacing w:before="40" w:after="40" w:line="240" w:lineRule="auto"/>
            </w:pPr>
            <w:r>
              <w:rPr>
                <w:sz w:val="19"/>
              </w:rPr>
              <w:t>SEE</w:t>
            </w:r>
          </w:p>
        </w:tc>
        <w:tc>
          <w:tcPr>
            <w:tcW w:w="2041" w:type="dxa"/>
          </w:tcPr>
          <w:p w14:paraId="52B8D9E6">
            <w:pPr>
              <w:spacing w:before="40" w:after="40" w:line="240" w:lineRule="auto"/>
            </w:pPr>
            <w:r>
              <w:rPr>
                <w:sz w:val="19"/>
              </w:rPr>
              <w:t>MAX Solutions</w:t>
            </w:r>
          </w:p>
        </w:tc>
        <w:tc>
          <w:tcPr>
            <w:tcW w:w="2494" w:type="dxa"/>
          </w:tcPr>
          <w:p w14:paraId="7E567C26">
            <w:pPr>
              <w:spacing w:before="40" w:after="40" w:line="240" w:lineRule="auto"/>
            </w:pPr>
            <w:r>
              <w:rPr>
                <w:sz w:val="19"/>
              </w:rPr>
              <w:t>Meadowbrook (4131); Springwood (4127)</w:t>
            </w:r>
          </w:p>
        </w:tc>
        <w:tc>
          <w:tcPr>
            <w:tcW w:w="2494" w:type="dxa"/>
          </w:tcPr>
          <w:p w14:paraId="4E7C6598">
            <w:pPr>
              <w:spacing w:before="40" w:after="40" w:line="240" w:lineRule="auto"/>
            </w:pPr>
            <w:r>
              <w:rPr>
                <w:sz w:val="19"/>
              </w:rPr>
              <w:t>1800 021 560; info@maxsolutions.edu.au</w:t>
            </w:r>
          </w:p>
        </w:tc>
        <w:tc>
          <w:tcPr>
            <w:tcW w:w="1361" w:type="dxa"/>
          </w:tcPr>
          <w:p w14:paraId="4259CAF3">
            <w:pPr>
              <w:spacing w:before="40" w:after="40" w:line="240" w:lineRule="auto"/>
            </w:pPr>
            <w:r>
              <w:rPr>
                <w:sz w:val="19"/>
              </w:rPr>
              <w:t>REQUIRES VERIFICATION</w:t>
            </w:r>
          </w:p>
        </w:tc>
      </w:tr>
      <w:tr w14:paraId="1BF1AA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40" w:type="dxa"/>
            <w:left w:w="80" w:type="dxa"/>
            <w:bottom w:w="40" w:type="dxa"/>
            <w:right w:w="80" w:type="dxa"/>
          </w:tblCellMar>
        </w:tblPrEx>
        <w:trPr>
          <w:jc w:val="center"/>
        </w:trPr>
        <w:tc>
          <w:tcPr>
            <w:tcW w:w="1474" w:type="dxa"/>
            <w:shd w:val="clear" w:color="auto" w:fill="F5F9FC"/>
          </w:tcPr>
          <w:p w14:paraId="76082ABC">
            <w:pPr>
              <w:spacing w:before="40" w:after="40" w:line="240" w:lineRule="auto"/>
            </w:pPr>
            <w:r>
              <w:rPr>
                <w:sz w:val="19"/>
              </w:rPr>
              <w:t>SEE</w:t>
            </w:r>
          </w:p>
        </w:tc>
        <w:tc>
          <w:tcPr>
            <w:tcW w:w="2041" w:type="dxa"/>
          </w:tcPr>
          <w:p w14:paraId="2D629E72">
            <w:pPr>
              <w:spacing w:before="40" w:after="40" w:line="240" w:lineRule="auto"/>
            </w:pPr>
            <w:r>
              <w:rPr>
                <w:sz w:val="19"/>
              </w:rPr>
              <w:t>Enterprise &amp; Training Company (ETC)</w:t>
            </w:r>
          </w:p>
        </w:tc>
        <w:tc>
          <w:tcPr>
            <w:tcW w:w="2494" w:type="dxa"/>
          </w:tcPr>
          <w:p w14:paraId="1E318A9D">
            <w:pPr>
              <w:spacing w:before="40" w:after="40" w:line="240" w:lineRule="auto"/>
            </w:pPr>
            <w:r>
              <w:rPr>
                <w:sz w:val="19"/>
              </w:rPr>
              <w:t>Logan and South Brisbane region (outreach/training hubs)</w:t>
            </w:r>
          </w:p>
        </w:tc>
        <w:tc>
          <w:tcPr>
            <w:tcW w:w="2494" w:type="dxa"/>
          </w:tcPr>
          <w:p w14:paraId="6C717495">
            <w:pPr>
              <w:spacing w:before="40" w:after="40" w:line="240" w:lineRule="auto"/>
            </w:pPr>
            <w:r>
              <w:rPr>
                <w:sz w:val="19"/>
              </w:rPr>
              <w:t>1800 007 400; etc.info@etcltd.com.au</w:t>
            </w:r>
          </w:p>
        </w:tc>
        <w:tc>
          <w:tcPr>
            <w:tcW w:w="1361" w:type="dxa"/>
          </w:tcPr>
          <w:p w14:paraId="2D89563F">
            <w:pPr>
              <w:spacing w:before="40" w:after="40" w:line="240" w:lineRule="auto"/>
            </w:pPr>
            <w:r>
              <w:rPr>
                <w:sz w:val="19"/>
              </w:rPr>
              <w:t>REQUIRES VERIFICATION</w:t>
            </w:r>
          </w:p>
        </w:tc>
      </w:tr>
    </w:tbl>
    <w:p w14:paraId="57649F5E">
      <w:pPr>
        <w:spacing w:before="0" w:after="120"/>
      </w:pPr>
      <w:r>
        <w:rPr>
          <w:b w:val="0"/>
          <w:i w:val="0"/>
          <w:sz w:val="21"/>
        </w:rPr>
        <w:t>All AMEP and SEE services are free for eligible participants. Confirm current class locations, formats (face-to-face, online or distance) and enrolment processes directly with each provider.</w:t>
      </w:r>
    </w:p>
    <w:p w14:paraId="5DEB2EAE">
      <w:r>
        <w:br w:type="page"/>
      </w:r>
    </w:p>
    <w:p w14:paraId="3878E6DE">
      <w:pPr>
        <w:pStyle w:val="2"/>
      </w:pPr>
      <w:r>
        <w:rPr>
          <w:color w:val="002B49"/>
        </w:rPr>
        <w:t>End Matter — Regional Provider Verification</w:t>
      </w:r>
    </w:p>
    <w:p w14:paraId="47ADEC96">
      <w:pPr>
        <w:spacing w:before="0" w:after="120"/>
      </w:pPr>
      <w:r>
        <w:rPr>
          <w:b w:val="0"/>
          <w:i w:val="0"/>
          <w:sz w:val="21"/>
        </w:rPr>
        <w:t>The following organisations were also identified in the environmental scan and are referenced in the body of this guide. All records require verification of current service status, eligibility and contact details before final publication:</w:t>
      </w:r>
    </w:p>
    <w:p w14:paraId="3B4080D4">
      <w:pPr>
        <w:pStyle w:val="23"/>
        <w:spacing w:before="0" w:after="40"/>
      </w:pPr>
      <w:r>
        <w:rPr>
          <w:b w:val="0"/>
          <w:i w:val="0"/>
          <w:sz w:val="21"/>
        </w:rPr>
        <w:t>Youth and family support: YFS (Slacks Creek); BABI Youth and Family Service (Wynnum); Anglicare Southern Queensland; Brisbane Youth Service; Marist180 (UHM residential care, national).</w:t>
      </w:r>
    </w:p>
    <w:p w14:paraId="1601A9C1">
      <w:pPr>
        <w:pStyle w:val="23"/>
        <w:spacing w:before="0" w:after="40"/>
      </w:pPr>
      <w:r>
        <w:rPr>
          <w:b w:val="0"/>
          <w:i w:val="0"/>
          <w:sz w:val="21"/>
        </w:rPr>
        <w:t>Settlement-linked legal services: RAILS (free); private migration lawyers and agents (Section 14.2).</w:t>
      </w:r>
    </w:p>
    <w:p w14:paraId="7F2C32DC">
      <w:pPr>
        <w:pStyle w:val="23"/>
        <w:spacing w:before="0" w:after="40"/>
      </w:pPr>
      <w:r>
        <w:rPr>
          <w:b w:val="0"/>
          <w:i w:val="0"/>
          <w:sz w:val="21"/>
        </w:rPr>
        <w:t>Community hubs: Community Hubs Australia; SSI Queensland; Logan school hubs (Marsden, Woodridge North, Woodridge, St Francis College, St Paul's).</w:t>
      </w:r>
    </w:p>
    <w:p w14:paraId="3C628374">
      <w:pPr>
        <w:pStyle w:val="23"/>
        <w:spacing w:before="0" w:after="40"/>
      </w:pPr>
      <w:r>
        <w:rPr>
          <w:b w:val="0"/>
          <w:i w:val="0"/>
          <w:sz w:val="21"/>
        </w:rPr>
        <w:t>CAMS: IWA Australia; SSI/ACCESS; MultiLink; Neighbourhood Centre Caboolture (Moreton Bay, peripheral).</w:t>
      </w:r>
    </w:p>
    <w:p w14:paraId="67E3E822">
      <w:pPr>
        <w:pStyle w:val="23"/>
        <w:spacing w:before="0" w:after="40"/>
      </w:pPr>
      <w:r>
        <w:rPr>
          <w:b w:val="0"/>
          <w:i w:val="0"/>
          <w:sz w:val="21"/>
        </w:rPr>
        <w:t>HSP-related: Multicultural Australia (Brisbane and Surrounds contract region); Community Support Program Approved Proposing Organisations — Multicultural Australia, SSI, AMES Australia, Australian Refugee Association (national APOs, verify current status).</w:t>
      </w:r>
    </w:p>
    <w:p w14:paraId="7DDA7F17">
      <w:pPr>
        <w:spacing w:before="0" w:after="120"/>
      </w:pPr>
      <w:r>
        <w:rPr>
          <w:b w:val="0"/>
          <w:i w:val="0"/>
          <w:sz w:val="21"/>
        </w:rPr>
        <w:t>Information not identified in the available source material — verification required.</w:t>
      </w:r>
    </w:p>
    <w:sectPr>
      <w:headerReference r:id="rId5" w:type="default"/>
      <w:footerReference r:id="rId6" w:type="default"/>
      <w:pgSz w:w="11906" w:h="16838"/>
      <w:pgMar w:top="1247" w:right="1134" w:bottom="1134" w:left="1134" w:header="720" w:footer="720" w:gutter="0"/>
      <w:cols w:space="720"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altName w:val="Microsoft YaHei"/>
    <w:panose1 w:val="00000000000000000000"/>
    <w:charset w:val="86"/>
    <w:family w:val="auto"/>
    <w:pitch w:val="default"/>
    <w:sig w:usb0="00000000" w:usb1="00000000" w:usb2="00000000" w:usb3="00000000" w:csb0="00000000" w:csb1="00000000"/>
  </w:font>
  <w:font w:name="Cambria">
    <w:panose1 w:val="02040503050406030204"/>
    <w:charset w:val="00"/>
    <w:family w:val="auto"/>
    <w:pitch w:val="default"/>
    <w:sig w:usb0="E00006FF" w:usb1="420024FF" w:usb2="02000000" w:usb3="00000000" w:csb0="2000019F" w:csb1="00000000"/>
  </w:font>
  <w:font w:name="ＭＳ 明朝">
    <w:altName w:val="Yu Gothic"/>
    <w:panose1 w:val="00000000000000000000"/>
    <w:charset w:val="80"/>
    <w:family w:val="roman"/>
    <w:pitch w:val="default"/>
    <w:sig w:usb0="00000000" w:usb1="00000000" w:usb2="00000010" w:usb3="00000000" w:csb0="00020000" w:csb1="00000000"/>
  </w:font>
  <w:font w:name="ＭＳ 明朝">
    <w:altName w:val="SimSun"/>
    <w:panose1 w:val="00000000000000000000"/>
    <w:charset w:val="86"/>
    <w:family w:val="auto"/>
    <w:pitch w:val="default"/>
    <w:sig w:usb0="00000000" w:usb1="00000000" w:usb2="00000000" w:usb3="00000000" w:csb0="00000000" w:csb1="00000000"/>
  </w:font>
  <w:font w:name="MS Gothic">
    <w:panose1 w:val="020B0609070205080204"/>
    <w:charset w:val="80"/>
    <w:family w:val="modern"/>
    <w:pitch w:val="default"/>
    <w:sig w:usb0="E00002FF" w:usb1="6AC7FDFB" w:usb2="08000012" w:usb3="00000000" w:csb0="4002009F" w:csb1="DFD70000"/>
  </w:font>
  <w:font w:name="Symbol">
    <w:panose1 w:val="05050102010706020507"/>
    <w:charset w:val="02"/>
    <w:family w:val="auto"/>
    <w:pitch w:val="default"/>
    <w:sig w:usb0="00000000" w:usb1="00000000" w:usb2="00000000" w:usb3="00000000" w:csb0="80000000" w:csb1="00000000"/>
  </w:font>
  <w:font w:name="Courier">
    <w:altName w:val="Courier New"/>
    <w:panose1 w:val="02000500000000000000"/>
    <w:charset w:val="00"/>
    <w:family w:val="auto"/>
    <w:pitch w:val="default"/>
    <w:sig w:usb0="00000000" w:usb1="00000000" w:usb2="00000000" w:usb3="00000000" w:csb0="00000001" w:csb1="00000000"/>
  </w:font>
  <w:font w:name="ＭＳ 明朝">
    <w:altName w:val="Siyam Rupali"/>
    <w:panose1 w:val="00000000000000000000"/>
    <w:charset w:val="00"/>
    <w:family w:val="auto"/>
    <w:pitch w:val="default"/>
    <w:sig w:usb0="00000000" w:usb1="00000000" w:usb2="00000000" w:usb3="00000000" w:csb0="00000000" w:csb1="00000000"/>
  </w:font>
  <w:font w:name="Siyam Rupali">
    <w:panose1 w:val="02000500000000020004"/>
    <w:charset w:val="00"/>
    <w:family w:val="auto"/>
    <w:pitch w:val="default"/>
    <w:sig w:usb0="00010000" w:usb1="00000000" w:usb2="00000000" w:usb3="00000000" w:csb0="00000001" w:csb1="00000000"/>
  </w:font>
  <w:font w:name="Microsoft YaHei">
    <w:panose1 w:val="020B0503020204020204"/>
    <w:charset w:val="86"/>
    <w:family w:val="auto"/>
    <w:pitch w:val="default"/>
    <w:sig w:usb0="80000287" w:usb1="2ACF3C50" w:usb2="00000016" w:usb3="00000000" w:csb0="0004001F" w:csb1="00000000"/>
  </w:font>
  <w:font w:name="Yu Gothic">
    <w:panose1 w:val="020B0400000000000000"/>
    <w:charset w:val="80"/>
    <w:family w:val="auto"/>
    <w:pitch w:val="default"/>
    <w:sig w:usb0="E00002FF" w:usb1="2AC7FDFF" w:usb2="00000016" w:usb3="00000000" w:csb0="2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F27A42B">
    <w:pPr>
      <w:pStyle w:val="18"/>
      <w:jc w:val="center"/>
    </w:pPr>
    <w:r>
      <w:rPr>
        <w:color w:val="595959"/>
        <w:sz w:val="18"/>
      </w:rPr>
      <w:t xml:space="preserve">Page </w:t>
    </w:r>
    <w:r>
      <w:rPr>
        <w:color w:val="595959"/>
        <w:sz w:val="18"/>
      </w:rPr>
      <w:fldChar w:fldCharType="begin"/>
    </w:r>
    <w:r>
      <w:rPr>
        <w:color w:val="595959"/>
        <w:sz w:val="18"/>
      </w:rPr>
      <w:instrText xml:space="preserve">PAGE</w:instrText>
    </w:r>
    <w:r>
      <w:rPr>
        <w:color w:val="595959"/>
        <w:sz w:val="18"/>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6" w:lineRule="auto"/>
      </w:pPr>
      <w:r>
        <w:separator/>
      </w:r>
    </w:p>
  </w:footnote>
  <w:footnote w:type="continuationSeparator" w:id="1">
    <w:p>
      <w:pPr>
        <w:spacing w:before="0" w:after="0" w:line="276"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9849A5D">
    <w:pPr>
      <w:pStyle w:val="19"/>
      <w:pBdr>
        <w:bottom w:val="single" w:color="00AEEF" w:sz="6" w:space="4"/>
      </w:pBdr>
      <w:jc w:val="right"/>
    </w:pPr>
    <w:r>
      <w:rPr>
        <w:color w:val="595959"/>
        <w:sz w:val="17"/>
      </w:rPr>
      <w:t>Brisbane South East Settlement Processes and Services Guide</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FFFFF7E"/>
    <w:multiLevelType w:val="singleLevel"/>
    <w:tmpl w:val="FFFFFF7E"/>
    <w:lvl w:ilvl="0" w:tentative="0">
      <w:start w:val="1"/>
      <w:numFmt w:val="decimal"/>
      <w:pStyle w:val="31"/>
      <w:lvlText w:val="%1."/>
      <w:lvlJc w:val="left"/>
      <w:pPr>
        <w:tabs>
          <w:tab w:val="left" w:pos="1080"/>
        </w:tabs>
        <w:ind w:left="1080" w:hanging="360"/>
      </w:pPr>
    </w:lvl>
  </w:abstractNum>
  <w:abstractNum w:abstractNumId="1">
    <w:nsid w:val="FFFFFF7F"/>
    <w:multiLevelType w:val="singleLevel"/>
    <w:tmpl w:val="FFFFFF7F"/>
    <w:lvl w:ilvl="0" w:tentative="0">
      <w:start w:val="1"/>
      <w:numFmt w:val="decimal"/>
      <w:pStyle w:val="30"/>
      <w:lvlText w:val="%1."/>
      <w:lvlJc w:val="left"/>
      <w:pPr>
        <w:tabs>
          <w:tab w:val="left" w:pos="720"/>
        </w:tabs>
        <w:ind w:left="720" w:hanging="360"/>
      </w:pPr>
    </w:lvl>
  </w:abstractNum>
  <w:abstractNum w:abstractNumId="2">
    <w:nsid w:val="FFFFFF82"/>
    <w:multiLevelType w:val="singleLevel"/>
    <w:tmpl w:val="FFFFFF82"/>
    <w:lvl w:ilvl="0" w:tentative="0">
      <w:start w:val="1"/>
      <w:numFmt w:val="bullet"/>
      <w:pStyle w:val="25"/>
      <w:lvlText w:val=""/>
      <w:lvlJc w:val="left"/>
      <w:pPr>
        <w:tabs>
          <w:tab w:val="left" w:pos="1080"/>
        </w:tabs>
        <w:ind w:left="1080" w:hanging="360"/>
      </w:pPr>
      <w:rPr>
        <w:rFonts w:hint="default" w:ascii="Symbol" w:hAnsi="Symbol"/>
      </w:rPr>
    </w:lvl>
  </w:abstractNum>
  <w:abstractNum w:abstractNumId="3">
    <w:nsid w:val="FFFFFF83"/>
    <w:multiLevelType w:val="singleLevel"/>
    <w:tmpl w:val="FFFFFF83"/>
    <w:lvl w:ilvl="0" w:tentative="0">
      <w:start w:val="1"/>
      <w:numFmt w:val="bullet"/>
      <w:pStyle w:val="24"/>
      <w:lvlText w:val=""/>
      <w:lvlJc w:val="left"/>
      <w:pPr>
        <w:tabs>
          <w:tab w:val="left" w:pos="720"/>
        </w:tabs>
        <w:ind w:left="720" w:hanging="360"/>
      </w:pPr>
      <w:rPr>
        <w:rFonts w:hint="default" w:ascii="Symbol" w:hAnsi="Symbol"/>
      </w:rPr>
    </w:lvl>
  </w:abstractNum>
  <w:abstractNum w:abstractNumId="4">
    <w:nsid w:val="FFFFFF88"/>
    <w:multiLevelType w:val="singleLevel"/>
    <w:tmpl w:val="FFFFFF88"/>
    <w:lvl w:ilvl="0" w:tentative="0">
      <w:start w:val="1"/>
      <w:numFmt w:val="decimal"/>
      <w:pStyle w:val="29"/>
      <w:lvlText w:val="%1."/>
      <w:lvlJc w:val="left"/>
      <w:pPr>
        <w:tabs>
          <w:tab w:val="left" w:pos="360"/>
        </w:tabs>
        <w:ind w:left="360" w:hanging="360"/>
      </w:pPr>
    </w:lvl>
  </w:abstractNum>
  <w:abstractNum w:abstractNumId="5">
    <w:nsid w:val="FFFFFF89"/>
    <w:multiLevelType w:val="singleLevel"/>
    <w:tmpl w:val="FFFFFF89"/>
    <w:lvl w:ilvl="0" w:tentative="0">
      <w:start w:val="1"/>
      <w:numFmt w:val="bullet"/>
      <w:pStyle w:val="23"/>
      <w:lvlText w:val=""/>
      <w:lvlJc w:val="left"/>
      <w:pPr>
        <w:tabs>
          <w:tab w:val="left" w:pos="360"/>
        </w:tabs>
        <w:ind w:left="360" w:hanging="360"/>
      </w:pPr>
      <w:rPr>
        <w:rFonts w:hint="default" w:ascii="Symbol" w:hAnsi="Symbol"/>
      </w:rPr>
    </w:lvl>
  </w:abstractNum>
  <w:num w:numId="1">
    <w:abstractNumId w:val="5"/>
  </w:num>
  <w:num w:numId="2">
    <w:abstractNumId w:val="3"/>
  </w:num>
  <w:num w:numId="3">
    <w:abstractNumId w:val="2"/>
  </w:num>
  <w:num w:numId="4">
    <w:abstractNumId w:val="4"/>
  </w:num>
  <w:num w:numId="5">
    <w:abstractNumId w:val="1"/>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ocumentProtection w:enforcement="0"/>
  <w:defaultTabStop w:val="720"/>
  <w:characterSpacingControl w:val="doNotCompress"/>
  <w:footnotePr>
    <w:footnote w:id="0"/>
    <w:footnote w:id="1"/>
  </w:footnotePr>
  <w:endnotePr>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 w:val="4FEB504C"/>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ja-JP"/>
  <w:clrSchemeMapping w:bg1="light1" w:t1="dark1" w:bg2="light2" w:t2="dark2" w:accent1="accent1" w:accent2="accent2" w:accent3="accent3" w:accent4="accent4" w:accent5="accent5" w:accent6="accent6" w:hyperlink="hyperlink" w:followedHyperlink="followedHyperlink"/>
  <w:doNotIncludeSubdocsInStats/>
  <w14:defaultImageDpi w14:val="300"/>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semiHidden="0" w:name="macro"/>
    <w:lsdException w:uiPriority="99" w:name="toa heading"/>
    <w:lsdException w:qFormat="1" w:uiPriority="99" w:semiHidden="0" w:name="List"/>
    <w:lsdException w:qFormat="1" w:uiPriority="99" w:semiHidden="0" w:name="List Bullet"/>
    <w:lsdException w:uiPriority="99" w:semiHidden="0" w:name="List Number"/>
    <w:lsdException w:qFormat="1" w:uiPriority="99" w:semiHidden="0" w:name="List 2"/>
    <w:lsdException w:qFormat="1" w:uiPriority="99" w:semiHidden="0" w:name="List 3"/>
    <w:lsdException w:uiPriority="99" w:name="List 4"/>
    <w:lsdException w:uiPriority="99" w:name="List 5"/>
    <w:lsdException w:qFormat="1" w:uiPriority="99" w:semiHidden="0" w:name="List Bullet 2"/>
    <w:lsdException w:qFormat="1" w:uiPriority="99" w:semiHidden="0" w:name="List Bullet 3"/>
    <w:lsdException w:uiPriority="99" w:name="List Bullet 4"/>
    <w:lsdException w:uiPriority="99" w:name="List Bullet 5"/>
    <w:lsdException w:uiPriority="99" w:semiHidden="0" w:name="List Number 2"/>
    <w:lsdException w:uiPriority="99" w:semiHidden="0"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qFormat="1" w:uiPriority="99" w:semiHidden="0" w:name="Body Text"/>
    <w:lsdException w:uiPriority="99" w:name="Body Text Indent"/>
    <w:lsdException w:uiPriority="99" w:semiHidden="0" w:name="List Continue"/>
    <w:lsdException w:uiPriority="99" w:semiHidden="0" w:name="List Continue 2"/>
    <w:lsdException w:uiPriority="99" w:semiHidden="0"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semiHidden="0" w:name="Body Text 2"/>
    <w:lsdException w:qFormat="1" w:uiPriority="99" w:semiHidden="0"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qFormat="1" w:unhideWhenUsed="0" w:uiPriority="1" w:semiHidden="0" w:name="No Spacing"/>
    <w:lsdException w:unhideWhenUsed="0" w:uiPriority="60" w:semiHidden="0" w:name="Light Shading"/>
    <w:lsdException w:unhideWhenUsed="0" w:uiPriority="61" w:semiHidden="0" w:name="Light List"/>
    <w:lsdException w:qFormat="1" w:unhideWhenUsed="0" w:uiPriority="62" w:semiHidden="0" w:name="Light Grid"/>
    <w:lsdException w:qFormat="1" w:unhideWhenUsed="0" w:uiPriority="63" w:semiHidden="0" w:name="Medium Shading 1"/>
    <w:lsdException w:qFormat="1" w:unhideWhenUsed="0" w:uiPriority="64" w:semiHidden="0" w:name="Medium Shading 2"/>
    <w:lsdException w:unhideWhenUsed="0" w:uiPriority="65" w:semiHidden="0" w:name="Medium List 1"/>
    <w:lsdException w:qFormat="1" w:unhideWhenUsed="0" w:uiPriority="66" w:semiHidden="0" w:name="Medium List 2"/>
    <w:lsdException w:unhideWhenUsed="0" w:uiPriority="67" w:semiHidden="0" w:name="Medium Grid 1"/>
    <w:lsdException w:qFormat="1" w:unhideWhenUsed="0" w:uiPriority="68" w:semiHidden="0" w:name="Medium Grid 2"/>
    <w:lsdException w:qFormat="1" w:unhideWhenUsed="0" w:uiPriority="69" w:semiHidden="0" w:name="Medium Grid 3"/>
    <w:lsdException w:qFormat="1" w:unhideWhenUsed="0" w:uiPriority="70" w:semiHidden="0" w:name="Dark List"/>
    <w:lsdException w:qFormat="1" w:unhideWhenUsed="0" w:uiPriority="71" w:semiHidden="0" w:name="Colorful Shading"/>
    <w:lsdException w:qFormat="1" w:unhideWhenUsed="0" w:uiPriority="72" w:semiHidden="0" w:name="Colorful List"/>
    <w:lsdException w:qFormat="1" w:unhideWhenUsed="0" w:uiPriority="73" w:semiHidden="0" w:name="Colorful Grid"/>
    <w:lsdException w:qFormat="1" w:unhideWhenUsed="0" w:uiPriority="60" w:semiHidden="0" w:name="Light Shading Accent 1"/>
    <w:lsdException w:qFormat="1" w:unhideWhenUsed="0" w:uiPriority="61" w:semiHidden="0" w:name="Light List Accent 1"/>
    <w:lsdException w:qFormat="1" w:unhideWhenUsed="0" w:uiPriority="62" w:semiHidden="0" w:name="Light Grid Accent 1"/>
    <w:lsdException w:qFormat="1" w:unhideWhenUsed="0" w:uiPriority="63" w:semiHidden="0" w:name="Medium Shading 1 Accent 1"/>
    <w:lsdException w:qFormat="1" w:unhideWhenUsed="0" w:uiPriority="64" w:semiHidden="0" w:name="Medium Shading 2 Accent 1"/>
    <w:lsdException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qFormat="1" w:unhideWhenUsed="0" w:uiPriority="66" w:semiHidden="0" w:name="Medium List 2 Accent 1"/>
    <w:lsdException w:unhideWhenUsed="0" w:uiPriority="67" w:semiHidden="0" w:name="Medium Grid 1 Accent 1"/>
    <w:lsdException w:qFormat="1" w:unhideWhenUsed="0" w:uiPriority="68" w:semiHidden="0" w:name="Medium Grid 2 Accent 1"/>
    <w:lsdException w:qFormat="1" w:unhideWhenUsed="0" w:uiPriority="69" w:semiHidden="0" w:name="Medium Grid 3 Accent 1"/>
    <w:lsdException w:qFormat="1" w:unhideWhenUsed="0" w:uiPriority="70" w:semiHidden="0" w:name="Dark List Accent 1"/>
    <w:lsdException w:qFormat="1" w:unhideWhenUsed="0" w:uiPriority="71" w:semiHidden="0" w:name="Colorful Shading Accent 1"/>
    <w:lsdException w:qFormat="1" w:unhideWhenUsed="0" w:uiPriority="72" w:semiHidden="0" w:name="Colorful List Accent 1"/>
    <w:lsdException w:unhideWhenUsed="0" w:uiPriority="73" w:semiHidden="0" w:name="Colorful Grid Accent 1"/>
    <w:lsdException w:unhideWhenUsed="0" w:uiPriority="60" w:semiHidden="0" w:name="Light Shading Accent 2"/>
    <w:lsdException w:qFormat="1" w:unhideWhenUsed="0" w:uiPriority="61" w:semiHidden="0" w:name="Light List Accent 2"/>
    <w:lsdException w:qFormat="1" w:unhideWhenUsed="0" w:uiPriority="62" w:semiHidden="0" w:name="Light Grid Accent 2"/>
    <w:lsdException w:qFormat="1" w:unhideWhenUsed="0" w:uiPriority="63" w:semiHidden="0" w:name="Medium Shading 1 Accent 2"/>
    <w:lsdException w:qFormat="1" w:unhideWhenUsed="0" w:uiPriority="64" w:semiHidden="0" w:name="Medium Shading 2 Accent 2"/>
    <w:lsdException w:unhideWhenUsed="0" w:uiPriority="65" w:semiHidden="0" w:name="Medium List 1 Accent 2"/>
    <w:lsdException w:unhideWhenUsed="0" w:uiPriority="66" w:semiHidden="0" w:name="Medium List 2 Accent 2"/>
    <w:lsdException w:qFormat="1" w:unhideWhenUsed="0" w:uiPriority="67" w:semiHidden="0" w:name="Medium Grid 1 Accent 2"/>
    <w:lsdException w:qFormat="1" w:unhideWhenUsed="0" w:uiPriority="68" w:semiHidden="0" w:name="Medium Grid 2 Accent 2"/>
    <w:lsdException w:qFormat="1" w:unhideWhenUsed="0" w:uiPriority="69" w:semiHidden="0" w:name="Medium Grid 3 Accent 2"/>
    <w:lsdException w:qFormat="1" w:unhideWhenUsed="0" w:uiPriority="70" w:semiHidden="0" w:name="Dark List Accent 2"/>
    <w:lsdException w:qFormat="1" w:unhideWhenUsed="0" w:uiPriority="71" w:semiHidden="0" w:name="Colorful Shading Accent 2"/>
    <w:lsdException w:qFormat="1"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qFormat="1" w:unhideWhenUsed="0" w:uiPriority="62" w:semiHidden="0" w:name="Light Grid Accent 3"/>
    <w:lsdException w:qFormat="1" w:unhideWhenUsed="0" w:uiPriority="63" w:semiHidden="0" w:name="Medium Shading 1 Accent 3"/>
    <w:lsdException w:qFormat="1" w:unhideWhenUsed="0" w:uiPriority="64" w:semiHidden="0" w:name="Medium Shading 2 Accent 3"/>
    <w:lsdException w:unhideWhenUsed="0" w:uiPriority="65" w:semiHidden="0" w:name="Medium List 1 Accent 3"/>
    <w:lsdException w:unhideWhenUsed="0" w:uiPriority="66" w:semiHidden="0" w:name="Medium List 2 Accent 3"/>
    <w:lsdException w:qFormat="1" w:unhideWhenUsed="0" w:uiPriority="67" w:semiHidden="0" w:name="Medium Grid 1 Accent 3"/>
    <w:lsdException w:qFormat="1" w:unhideWhenUsed="0" w:uiPriority="68" w:semiHidden="0" w:name="Medium Grid 2 Accent 3"/>
    <w:lsdException w:qFormat="1" w:unhideWhenUsed="0" w:uiPriority="69" w:semiHidden="0" w:name="Medium Grid 3 Accent 3"/>
    <w:lsdException w:qFormat="1" w:unhideWhenUsed="0" w:uiPriority="70" w:semiHidden="0" w:name="Dark List Accent 3"/>
    <w:lsdException w:qFormat="1" w:unhideWhenUsed="0" w:uiPriority="71" w:semiHidden="0" w:name="Colorful Shading Accent 3"/>
    <w:lsdException w:qFormat="1"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qFormat="1" w:unhideWhenUsed="0" w:uiPriority="62" w:semiHidden="0" w:name="Light Grid Accent 4"/>
    <w:lsdException w:qFormat="1" w:unhideWhenUsed="0" w:uiPriority="63" w:semiHidden="0" w:name="Medium Shading 1 Accent 4"/>
    <w:lsdException w:unhideWhenUsed="0" w:uiPriority="64" w:semiHidden="0" w:name="Medium Shading 2 Accent 4"/>
    <w:lsdException w:unhideWhenUsed="0" w:uiPriority="65" w:semiHidden="0" w:name="Medium List 1 Accent 4"/>
    <w:lsdException w:qFormat="1" w:unhideWhenUsed="0" w:uiPriority="66" w:semiHidden="0" w:name="Medium List 2 Accent 4"/>
    <w:lsdException w:qFormat="1" w:unhideWhenUsed="0" w:uiPriority="67" w:semiHidden="0" w:name="Medium Grid 1 Accent 4"/>
    <w:lsdException w:qFormat="1" w:unhideWhenUsed="0" w:uiPriority="68" w:semiHidden="0" w:name="Medium Grid 2 Accent 4"/>
    <w:lsdException w:qFormat="1" w:unhideWhenUsed="0" w:uiPriority="69" w:semiHidden="0" w:name="Medium Grid 3 Accent 4"/>
    <w:lsdException w:qFormat="1" w:unhideWhenUsed="0" w:uiPriority="70" w:semiHidden="0" w:name="Dark List Accent 4"/>
    <w:lsdException w:qFormat="1" w:unhideWhenUsed="0" w:uiPriority="71" w:semiHidden="0" w:name="Colorful Shading Accent 4"/>
    <w:lsdException w:qFormat="1" w:unhideWhenUsed="0" w:uiPriority="72" w:semiHidden="0" w:name="Colorful List Accent 4"/>
    <w:lsdException w:unhideWhenUsed="0" w:uiPriority="73" w:semiHidden="0" w:name="Colorful Grid Accent 4"/>
    <w:lsdException w:qFormat="1" w:unhideWhenUsed="0" w:uiPriority="60" w:semiHidden="0" w:name="Light Shading Accent 5"/>
    <w:lsdException w:qFormat="1" w:unhideWhenUsed="0" w:uiPriority="61" w:semiHidden="0" w:name="Light List Accent 5"/>
    <w:lsdException w:qFormat="1" w:unhideWhenUsed="0" w:uiPriority="62" w:semiHidden="0" w:name="Light Grid Accent 5"/>
    <w:lsdException w:qFormat="1"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qFormat="1" w:unhideWhenUsed="0" w:uiPriority="67" w:semiHidden="0" w:name="Medium Grid 1 Accent 5"/>
    <w:lsdException w:qFormat="1" w:unhideWhenUsed="0" w:uiPriority="68" w:semiHidden="0" w:name="Medium Grid 2 Accent 5"/>
    <w:lsdException w:qFormat="1" w:unhideWhenUsed="0" w:uiPriority="69" w:semiHidden="0" w:name="Medium Grid 3 Accent 5"/>
    <w:lsdException w:qFormat="1" w:unhideWhenUsed="0" w:uiPriority="70" w:semiHidden="0" w:name="Dark List Accent 5"/>
    <w:lsdException w:qFormat="1" w:unhideWhenUsed="0" w:uiPriority="71" w:semiHidden="0" w:name="Colorful Shading Accent 5"/>
    <w:lsdException w:qFormat="1" w:unhideWhenUsed="0" w:uiPriority="72" w:semiHidden="0" w:name="Colorful List Accent 5"/>
    <w:lsdException w:unhideWhenUsed="0" w:uiPriority="73" w:semiHidden="0" w:name="Colorful Grid Accent 5"/>
    <w:lsdException w:unhideWhenUsed="0" w:uiPriority="60" w:semiHidden="0" w:name="Light Shading Accent 6"/>
    <w:lsdException w:qFormat="1" w:unhideWhenUsed="0" w:uiPriority="61" w:semiHidden="0" w:name="Light List Accent 6"/>
    <w:lsdException w:qFormat="1" w:unhideWhenUsed="0" w:uiPriority="62" w:semiHidden="0" w:name="Light Grid Accent 6"/>
    <w:lsdException w:qFormat="1" w:unhideWhenUsed="0" w:uiPriority="63" w:semiHidden="0" w:name="Medium Shading 1 Accent 6"/>
    <w:lsdException w:qFormat="1" w:unhideWhenUsed="0" w:uiPriority="64" w:semiHidden="0" w:name="Medium Shading 2 Accent 6"/>
    <w:lsdException w:unhideWhenUsed="0" w:uiPriority="65" w:semiHidden="0" w:name="Medium List 1 Accent 6"/>
    <w:lsdException w:unhideWhenUsed="0" w:uiPriority="66" w:semiHidden="0" w:name="Medium List 2 Accent 6"/>
    <w:lsdException w:qFormat="1" w:unhideWhenUsed="0" w:uiPriority="67" w:semiHidden="0" w:name="Medium Grid 1 Accent 6"/>
    <w:lsdException w:qFormat="1" w:unhideWhenUsed="0" w:uiPriority="68" w:semiHidden="0" w:name="Medium Grid 2 Accent 6"/>
    <w:lsdException w:qFormat="1" w:unhideWhenUsed="0" w:uiPriority="69" w:semiHidden="0" w:name="Medium Grid 3 Accent 6"/>
    <w:lsdException w:qFormat="1" w:unhideWhenUsed="0" w:uiPriority="70" w:semiHidden="0" w:name="Dark List Accent 6"/>
    <w:lsdException w:qFormat="1" w:unhideWhenUsed="0" w:uiPriority="71" w:semiHidden="0" w:name="Colorful Shading Accent 6"/>
    <w:lsdException w:qFormat="1" w:unhideWhenUsed="0" w:uiPriority="72" w:semiHidden="0" w:name="Colorful List Accent 6"/>
    <w:lsdException w:unhideWhenUsed="0" w:uiPriority="73" w:semiHidden="0" w:name="Colorful Grid Accent 6"/>
  </w:latentStyles>
  <w:style w:type="paragraph" w:default="1" w:styleId="1">
    <w:name w:val="Normal"/>
    <w:qFormat/>
    <w:uiPriority w:val="0"/>
    <w:pPr>
      <w:spacing w:after="200" w:line="276" w:lineRule="auto"/>
    </w:pPr>
    <w:rPr>
      <w:rFonts w:ascii="Calibri" w:hAnsi="Calibri" w:eastAsia="Calibri" w:cstheme="minorBidi"/>
      <w:sz w:val="21"/>
      <w:szCs w:val="22"/>
      <w:lang w:val="en-US" w:eastAsia="en-US" w:bidi="ar-SA"/>
    </w:rPr>
  </w:style>
  <w:style w:type="paragraph" w:styleId="2">
    <w:name w:val="heading 1"/>
    <w:basedOn w:val="1"/>
    <w:next w:val="1"/>
    <w:link w:val="138"/>
    <w:qFormat/>
    <w:uiPriority w:val="9"/>
    <w:pPr>
      <w:keepNext/>
      <w:keepLines/>
      <w:spacing w:before="280" w:after="120"/>
      <w:outlineLvl w:val="0"/>
    </w:pPr>
    <w:rPr>
      <w:rFonts w:asciiTheme="majorHAnsi" w:hAnsiTheme="majorHAnsi" w:eastAsiaTheme="majorEastAsia" w:cstheme="majorBidi"/>
      <w:b/>
      <w:bCs/>
      <w:color w:val="002B49"/>
      <w:sz w:val="32"/>
      <w:szCs w:val="28"/>
    </w:rPr>
  </w:style>
  <w:style w:type="paragraph" w:styleId="3">
    <w:name w:val="heading 2"/>
    <w:basedOn w:val="1"/>
    <w:next w:val="1"/>
    <w:link w:val="139"/>
    <w:unhideWhenUsed/>
    <w:qFormat/>
    <w:uiPriority w:val="9"/>
    <w:pPr>
      <w:keepNext/>
      <w:keepLines/>
      <w:spacing w:before="200" w:after="80"/>
      <w:outlineLvl w:val="1"/>
    </w:pPr>
    <w:rPr>
      <w:rFonts w:asciiTheme="majorHAnsi" w:hAnsiTheme="majorHAnsi" w:eastAsiaTheme="majorEastAsia" w:cstheme="majorBidi"/>
      <w:b/>
      <w:bCs/>
      <w:color w:val="0066CC"/>
      <w:sz w:val="26"/>
      <w:szCs w:val="26"/>
    </w:rPr>
  </w:style>
  <w:style w:type="paragraph" w:styleId="4">
    <w:name w:val="heading 3"/>
    <w:basedOn w:val="1"/>
    <w:next w:val="1"/>
    <w:link w:val="140"/>
    <w:unhideWhenUsed/>
    <w:qFormat/>
    <w:uiPriority w:val="9"/>
    <w:pPr>
      <w:keepNext/>
      <w:keepLines/>
      <w:spacing w:before="160" w:after="60"/>
      <w:outlineLvl w:val="2"/>
    </w:pPr>
    <w:rPr>
      <w:rFonts w:asciiTheme="majorHAnsi" w:hAnsiTheme="majorHAnsi" w:eastAsiaTheme="majorEastAsia" w:cstheme="majorBidi"/>
      <w:b/>
      <w:bCs/>
      <w:color w:val="006B4F"/>
      <w:sz w:val="22"/>
    </w:rPr>
  </w:style>
  <w:style w:type="paragraph" w:styleId="5">
    <w:name w:val="heading 4"/>
    <w:basedOn w:val="1"/>
    <w:next w:val="1"/>
    <w:link w:val="150"/>
    <w:semiHidden/>
    <w:unhideWhenUsed/>
    <w:qFormat/>
    <w:uiPriority w:val="9"/>
    <w:pPr>
      <w:keepNext/>
      <w:keepLines/>
      <w:spacing w:before="200" w:after="0"/>
      <w:outlineLvl w:val="3"/>
    </w:pPr>
    <w:rPr>
      <w:rFonts w:asciiTheme="majorHAnsi" w:hAnsiTheme="majorHAnsi" w:eastAsiaTheme="majorEastAsia" w:cstheme="majorBidi"/>
      <w:b/>
      <w:bCs/>
      <w:i/>
      <w:iCs/>
      <w:color w:val="4F81BD" w:themeColor="accent1"/>
      <w14:textFill>
        <w14:solidFill>
          <w14:schemeClr w14:val="accent1"/>
        </w14:solidFill>
      </w14:textFill>
    </w:rPr>
  </w:style>
  <w:style w:type="paragraph" w:styleId="6">
    <w:name w:val="heading 5"/>
    <w:basedOn w:val="1"/>
    <w:next w:val="1"/>
    <w:link w:val="151"/>
    <w:semiHidden/>
    <w:unhideWhenUsed/>
    <w:qFormat/>
    <w:uiPriority w:val="9"/>
    <w:pPr>
      <w:keepNext/>
      <w:keepLines/>
      <w:spacing w:before="200" w:after="0"/>
      <w:outlineLvl w:val="4"/>
    </w:pPr>
    <w:rPr>
      <w:rFonts w:asciiTheme="majorHAnsi" w:hAnsiTheme="majorHAnsi" w:eastAsiaTheme="majorEastAsia" w:cstheme="majorBidi"/>
      <w:color w:val="254061" w:themeColor="accent1" w:themeShade="80"/>
    </w:rPr>
  </w:style>
  <w:style w:type="paragraph" w:styleId="7">
    <w:name w:val="heading 6"/>
    <w:basedOn w:val="1"/>
    <w:next w:val="1"/>
    <w:link w:val="152"/>
    <w:semiHidden/>
    <w:unhideWhenUsed/>
    <w:qFormat/>
    <w:uiPriority w:val="9"/>
    <w:pPr>
      <w:keepNext/>
      <w:keepLines/>
      <w:spacing w:before="200" w:after="0"/>
      <w:outlineLvl w:val="5"/>
    </w:pPr>
    <w:rPr>
      <w:rFonts w:asciiTheme="majorHAnsi" w:hAnsiTheme="majorHAnsi" w:eastAsiaTheme="majorEastAsia" w:cstheme="majorBidi"/>
      <w:i/>
      <w:iCs/>
      <w:color w:val="254061" w:themeColor="accent1" w:themeShade="80"/>
    </w:rPr>
  </w:style>
  <w:style w:type="paragraph" w:styleId="8">
    <w:name w:val="heading 7"/>
    <w:basedOn w:val="1"/>
    <w:next w:val="1"/>
    <w:link w:val="153"/>
    <w:semiHidden/>
    <w:unhideWhenUsed/>
    <w:qFormat/>
    <w:uiPriority w:val="9"/>
    <w:pPr>
      <w:keepNext/>
      <w:keepLines/>
      <w:spacing w:before="200" w:after="0"/>
      <w:outlineLvl w:val="6"/>
    </w:pPr>
    <w:rPr>
      <w:rFonts w:asciiTheme="majorHAnsi" w:hAnsiTheme="majorHAnsi" w:eastAsiaTheme="majorEastAsia" w:cstheme="majorBidi"/>
      <w:i/>
      <w:iCs/>
      <w:color w:val="404040" w:themeColor="text1" w:themeTint="BF"/>
      <w14:textFill>
        <w14:solidFill>
          <w14:schemeClr w14:val="tx1">
            <w14:lumMod w14:val="75000"/>
            <w14:lumOff w14:val="25000"/>
          </w14:schemeClr>
        </w14:solidFill>
      </w14:textFill>
    </w:rPr>
  </w:style>
  <w:style w:type="paragraph" w:styleId="9">
    <w:name w:val="heading 8"/>
    <w:basedOn w:val="1"/>
    <w:next w:val="1"/>
    <w:link w:val="154"/>
    <w:semiHidden/>
    <w:unhideWhenUsed/>
    <w:qFormat/>
    <w:uiPriority w:val="9"/>
    <w:pPr>
      <w:keepNext/>
      <w:keepLines/>
      <w:spacing w:before="200" w:after="0"/>
      <w:outlineLvl w:val="7"/>
    </w:pPr>
    <w:rPr>
      <w:rFonts w:asciiTheme="majorHAnsi" w:hAnsiTheme="majorHAnsi" w:eastAsiaTheme="majorEastAsia" w:cstheme="majorBidi"/>
      <w:color w:val="4F81BD" w:themeColor="accent1"/>
      <w:sz w:val="20"/>
      <w:szCs w:val="20"/>
      <w14:textFill>
        <w14:solidFill>
          <w14:schemeClr w14:val="accent1"/>
        </w14:solidFill>
      </w14:textFill>
    </w:rPr>
  </w:style>
  <w:style w:type="paragraph" w:styleId="10">
    <w:name w:val="heading 9"/>
    <w:basedOn w:val="1"/>
    <w:next w:val="1"/>
    <w:link w:val="155"/>
    <w:semiHidden/>
    <w:unhideWhenUsed/>
    <w:qFormat/>
    <w:uiPriority w:val="9"/>
    <w:pPr>
      <w:keepNext/>
      <w:keepLines/>
      <w:spacing w:before="200" w:after="0"/>
      <w:outlineLvl w:val="8"/>
    </w:pPr>
    <w:rPr>
      <w:rFonts w:asciiTheme="majorHAnsi" w:hAnsiTheme="majorHAnsi" w:eastAsiaTheme="majorEastAsia" w:cstheme="majorBidi"/>
      <w:i/>
      <w:iCs/>
      <w:color w:val="404040" w:themeColor="text1" w:themeTint="BF"/>
      <w:sz w:val="20"/>
      <w:szCs w:val="20"/>
      <w14:textFill>
        <w14:solidFill>
          <w14:schemeClr w14:val="tx1">
            <w14:lumMod w14:val="75000"/>
            <w14:lumOff w14:val="25000"/>
          </w14:schemeClr>
        </w14:solidFill>
      </w14:textFill>
    </w:rPr>
  </w:style>
  <w:style w:type="character" w:default="1" w:styleId="11">
    <w:name w:val="Default Paragraph Font"/>
    <w:semiHidden/>
    <w:unhideWhenUsed/>
    <w:uiPriority w:val="1"/>
  </w:style>
  <w:style w:type="table" w:default="1" w:styleId="12">
    <w:name w:val="Normal Table"/>
    <w:semiHidden/>
    <w:unhideWhenUsed/>
    <w:uiPriority w:val="99"/>
    <w:tblPr>
      <w:tblCellMar>
        <w:top w:w="0" w:type="dxa"/>
        <w:left w:w="108" w:type="dxa"/>
        <w:bottom w:w="0" w:type="dxa"/>
        <w:right w:w="108" w:type="dxa"/>
      </w:tblCellMar>
    </w:tblPr>
  </w:style>
  <w:style w:type="paragraph" w:styleId="13">
    <w:name w:val="Body Text"/>
    <w:basedOn w:val="1"/>
    <w:link w:val="144"/>
    <w:unhideWhenUsed/>
    <w:qFormat/>
    <w:uiPriority w:val="99"/>
    <w:pPr>
      <w:spacing w:after="120"/>
    </w:pPr>
  </w:style>
  <w:style w:type="paragraph" w:styleId="14">
    <w:name w:val="Body Text 2"/>
    <w:basedOn w:val="1"/>
    <w:link w:val="145"/>
    <w:unhideWhenUsed/>
    <w:uiPriority w:val="99"/>
    <w:pPr>
      <w:spacing w:after="120" w:line="480" w:lineRule="auto"/>
    </w:pPr>
  </w:style>
  <w:style w:type="paragraph" w:styleId="15">
    <w:name w:val="Body Text 3"/>
    <w:basedOn w:val="1"/>
    <w:link w:val="146"/>
    <w:unhideWhenUsed/>
    <w:qFormat/>
    <w:uiPriority w:val="99"/>
    <w:pPr>
      <w:spacing w:after="120"/>
    </w:pPr>
    <w:rPr>
      <w:sz w:val="16"/>
      <w:szCs w:val="16"/>
    </w:rPr>
  </w:style>
  <w:style w:type="paragraph" w:styleId="16">
    <w:name w:val="caption"/>
    <w:basedOn w:val="1"/>
    <w:next w:val="1"/>
    <w:semiHidden/>
    <w:unhideWhenUsed/>
    <w:qFormat/>
    <w:uiPriority w:val="35"/>
    <w:pPr>
      <w:spacing w:line="240" w:lineRule="auto"/>
    </w:pPr>
    <w:rPr>
      <w:b/>
      <w:bCs/>
      <w:color w:val="4F81BD" w:themeColor="accent1"/>
      <w:sz w:val="18"/>
      <w:szCs w:val="18"/>
      <w14:textFill>
        <w14:solidFill>
          <w14:schemeClr w14:val="accent1"/>
        </w14:solidFill>
      </w14:textFill>
    </w:rPr>
  </w:style>
  <w:style w:type="character" w:styleId="17">
    <w:name w:val="Emphasis"/>
    <w:basedOn w:val="11"/>
    <w:qFormat/>
    <w:uiPriority w:val="20"/>
    <w:rPr>
      <w:i/>
      <w:iCs/>
    </w:rPr>
  </w:style>
  <w:style w:type="paragraph" w:styleId="18">
    <w:name w:val="footer"/>
    <w:basedOn w:val="1"/>
    <w:link w:val="136"/>
    <w:unhideWhenUsed/>
    <w:qFormat/>
    <w:uiPriority w:val="99"/>
    <w:pPr>
      <w:tabs>
        <w:tab w:val="center" w:pos="4680"/>
        <w:tab w:val="right" w:pos="9360"/>
      </w:tabs>
      <w:spacing w:after="0" w:line="240" w:lineRule="auto"/>
    </w:pPr>
  </w:style>
  <w:style w:type="paragraph" w:styleId="19">
    <w:name w:val="header"/>
    <w:basedOn w:val="1"/>
    <w:link w:val="135"/>
    <w:unhideWhenUsed/>
    <w:qFormat/>
    <w:uiPriority w:val="99"/>
    <w:pPr>
      <w:tabs>
        <w:tab w:val="center" w:pos="4680"/>
        <w:tab w:val="right" w:pos="9360"/>
      </w:tabs>
      <w:spacing w:after="0" w:line="240" w:lineRule="auto"/>
    </w:pPr>
  </w:style>
  <w:style w:type="paragraph" w:styleId="20">
    <w:name w:val="List"/>
    <w:basedOn w:val="1"/>
    <w:unhideWhenUsed/>
    <w:qFormat/>
    <w:uiPriority w:val="99"/>
    <w:pPr>
      <w:ind w:left="360" w:hanging="360"/>
      <w:contextualSpacing/>
    </w:pPr>
  </w:style>
  <w:style w:type="paragraph" w:styleId="21">
    <w:name w:val="List 2"/>
    <w:basedOn w:val="1"/>
    <w:unhideWhenUsed/>
    <w:qFormat/>
    <w:uiPriority w:val="99"/>
    <w:pPr>
      <w:ind w:left="720" w:hanging="360"/>
      <w:contextualSpacing/>
    </w:pPr>
  </w:style>
  <w:style w:type="paragraph" w:styleId="22">
    <w:name w:val="List 3"/>
    <w:basedOn w:val="1"/>
    <w:unhideWhenUsed/>
    <w:qFormat/>
    <w:uiPriority w:val="99"/>
    <w:pPr>
      <w:ind w:left="1080" w:hanging="360"/>
      <w:contextualSpacing/>
    </w:pPr>
  </w:style>
  <w:style w:type="paragraph" w:styleId="23">
    <w:name w:val="List Bullet"/>
    <w:basedOn w:val="1"/>
    <w:unhideWhenUsed/>
    <w:qFormat/>
    <w:uiPriority w:val="99"/>
    <w:pPr>
      <w:numPr>
        <w:ilvl w:val="0"/>
        <w:numId w:val="1"/>
      </w:numPr>
      <w:contextualSpacing/>
    </w:pPr>
  </w:style>
  <w:style w:type="paragraph" w:styleId="24">
    <w:name w:val="List Bullet 2"/>
    <w:basedOn w:val="1"/>
    <w:unhideWhenUsed/>
    <w:qFormat/>
    <w:uiPriority w:val="99"/>
    <w:pPr>
      <w:numPr>
        <w:ilvl w:val="0"/>
        <w:numId w:val="2"/>
      </w:numPr>
      <w:contextualSpacing/>
    </w:pPr>
  </w:style>
  <w:style w:type="paragraph" w:styleId="25">
    <w:name w:val="List Bullet 3"/>
    <w:basedOn w:val="1"/>
    <w:unhideWhenUsed/>
    <w:qFormat/>
    <w:uiPriority w:val="99"/>
    <w:pPr>
      <w:numPr>
        <w:ilvl w:val="0"/>
        <w:numId w:val="3"/>
      </w:numPr>
      <w:contextualSpacing/>
    </w:pPr>
  </w:style>
  <w:style w:type="paragraph" w:styleId="26">
    <w:name w:val="List Continue"/>
    <w:basedOn w:val="1"/>
    <w:unhideWhenUsed/>
    <w:uiPriority w:val="99"/>
    <w:pPr>
      <w:spacing w:after="120"/>
      <w:ind w:left="360"/>
      <w:contextualSpacing/>
    </w:pPr>
  </w:style>
  <w:style w:type="paragraph" w:styleId="27">
    <w:name w:val="List Continue 2"/>
    <w:basedOn w:val="1"/>
    <w:unhideWhenUsed/>
    <w:uiPriority w:val="99"/>
    <w:pPr>
      <w:spacing w:after="120"/>
      <w:ind w:left="720"/>
      <w:contextualSpacing/>
    </w:pPr>
  </w:style>
  <w:style w:type="paragraph" w:styleId="28">
    <w:name w:val="List Continue 3"/>
    <w:basedOn w:val="1"/>
    <w:unhideWhenUsed/>
    <w:uiPriority w:val="99"/>
    <w:pPr>
      <w:spacing w:after="120"/>
      <w:ind w:left="1080"/>
      <w:contextualSpacing/>
    </w:pPr>
  </w:style>
  <w:style w:type="paragraph" w:styleId="29">
    <w:name w:val="List Number"/>
    <w:basedOn w:val="1"/>
    <w:unhideWhenUsed/>
    <w:uiPriority w:val="99"/>
    <w:pPr>
      <w:numPr>
        <w:ilvl w:val="0"/>
        <w:numId w:val="4"/>
      </w:numPr>
      <w:contextualSpacing/>
    </w:pPr>
  </w:style>
  <w:style w:type="paragraph" w:styleId="30">
    <w:name w:val="List Number 2"/>
    <w:basedOn w:val="1"/>
    <w:unhideWhenUsed/>
    <w:uiPriority w:val="99"/>
    <w:pPr>
      <w:numPr>
        <w:ilvl w:val="0"/>
        <w:numId w:val="5"/>
      </w:numPr>
      <w:contextualSpacing/>
    </w:pPr>
  </w:style>
  <w:style w:type="paragraph" w:styleId="31">
    <w:name w:val="List Number 3"/>
    <w:basedOn w:val="1"/>
    <w:unhideWhenUsed/>
    <w:uiPriority w:val="99"/>
    <w:pPr>
      <w:numPr>
        <w:ilvl w:val="0"/>
        <w:numId w:val="6"/>
      </w:numPr>
      <w:contextualSpacing/>
    </w:pPr>
  </w:style>
  <w:style w:type="paragraph" w:styleId="32">
    <w:name w:val="macro"/>
    <w:link w:val="147"/>
    <w:unhideWhenUsed/>
    <w:uiPriority w:val="99"/>
    <w:pPr>
      <w:tabs>
        <w:tab w:val="left" w:pos="576"/>
        <w:tab w:val="left" w:pos="1152"/>
        <w:tab w:val="left" w:pos="1728"/>
        <w:tab w:val="left" w:pos="2304"/>
        <w:tab w:val="left" w:pos="2880"/>
        <w:tab w:val="left" w:pos="3456"/>
        <w:tab w:val="left" w:pos="4032"/>
      </w:tabs>
      <w:spacing w:after="200" w:line="276" w:lineRule="auto"/>
    </w:pPr>
    <w:rPr>
      <w:rFonts w:ascii="Courier" w:hAnsi="Courier" w:eastAsiaTheme="minorEastAsia" w:cstheme="minorBidi"/>
      <w:sz w:val="20"/>
      <w:szCs w:val="20"/>
      <w:lang w:val="en-US" w:eastAsia="en-US" w:bidi="ar-SA"/>
    </w:rPr>
  </w:style>
  <w:style w:type="character" w:styleId="33">
    <w:name w:val="Strong"/>
    <w:basedOn w:val="11"/>
    <w:qFormat/>
    <w:uiPriority w:val="22"/>
    <w:rPr>
      <w:b/>
      <w:bCs/>
    </w:rPr>
  </w:style>
  <w:style w:type="paragraph" w:styleId="34">
    <w:name w:val="Subtitle"/>
    <w:basedOn w:val="1"/>
    <w:next w:val="1"/>
    <w:link w:val="142"/>
    <w:qFormat/>
    <w:uiPriority w:val="11"/>
    <w:rPr>
      <w:rFonts w:asciiTheme="majorHAnsi" w:hAnsiTheme="majorHAnsi" w:eastAsiaTheme="majorEastAsia" w:cstheme="majorBidi"/>
      <w:i/>
      <w:iCs/>
      <w:color w:val="4F81BD" w:themeColor="accent1"/>
      <w:spacing w:val="15"/>
      <w:sz w:val="24"/>
      <w:szCs w:val="24"/>
      <w14:textFill>
        <w14:solidFill>
          <w14:schemeClr w14:val="accent1"/>
        </w14:solidFill>
      </w14:textFill>
    </w:rPr>
  </w:style>
  <w:style w:type="table" w:styleId="35">
    <w:name w:val="Table Grid"/>
    <w:basedOn w:val="12"/>
    <w:uiPriority w:val="59"/>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paragraph" w:styleId="36">
    <w:name w:val="Title"/>
    <w:basedOn w:val="1"/>
    <w:next w:val="1"/>
    <w:link w:val="141"/>
    <w:qFormat/>
    <w:uiPriority w:val="10"/>
    <w:pPr>
      <w:pBdr>
        <w:bottom w:val="single" w:color="4F81BD" w:themeColor="accent1" w:sz="8" w:space="4"/>
      </w:pBdr>
      <w:spacing w:after="300" w:line="240" w:lineRule="auto"/>
      <w:contextualSpacing/>
    </w:pPr>
    <w:rPr>
      <w:rFonts w:asciiTheme="majorHAnsi" w:hAnsiTheme="majorHAnsi" w:eastAsiaTheme="majorEastAsia" w:cstheme="majorBidi"/>
      <w:color w:val="17375E" w:themeColor="text2" w:themeShade="BF"/>
      <w:spacing w:val="5"/>
      <w:kern w:val="28"/>
      <w:sz w:val="52"/>
      <w:szCs w:val="52"/>
    </w:rPr>
  </w:style>
  <w:style w:type="table" w:styleId="37">
    <w:name w:val="Light Shading"/>
    <w:basedOn w:val="12"/>
    <w:uiPriority w:val="60"/>
    <w:pPr>
      <w:spacing w:after="0" w:line="240" w:lineRule="auto"/>
    </w:pPr>
    <w:rPr>
      <w:color w:val="000000" w:themeColor="text1" w:themeShade="BF"/>
    </w:rPr>
    <w:tblPr>
      <w:tblBorders>
        <w:top w:val="single" w:color="000000" w:themeColor="text1" w:sz="8" w:space="0"/>
        <w:bottom w:val="single" w:color="000000" w:themeColor="text1"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la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FBFBF" w:themeFill="text1" w:themeFillTint="3F"/>
      </w:tcPr>
    </w:tblStylePr>
    <w:tblStylePr w:type="band1Horz">
      <w:tblPr/>
      <w:tcPr>
        <w:tcBorders>
          <w:left w:val="nil"/>
          <w:right w:val="nil"/>
          <w:insideH w:val="nil"/>
          <w:insideV w:val="nil"/>
        </w:tcBorders>
        <w:shd w:val="clear" w:color="auto" w:fill="BFBFBF" w:themeFill="text1" w:themeFillTint="3F"/>
      </w:tcPr>
    </w:tblStylePr>
  </w:style>
  <w:style w:type="table" w:styleId="38">
    <w:name w:val="Light Shading Accent 1"/>
    <w:basedOn w:val="12"/>
    <w:qFormat/>
    <w:uiPriority w:val="60"/>
    <w:pPr>
      <w:spacing w:after="0" w:line="240" w:lineRule="auto"/>
    </w:pPr>
    <w:rPr>
      <w:color w:val="376092" w:themeColor="accent1" w:themeShade="BF"/>
    </w:rPr>
    <w:tblPr>
      <w:tblBorders>
        <w:top w:val="single" w:color="4F81BD" w:themeColor="accent1" w:sz="8" w:space="0"/>
        <w:bottom w:val="single" w:color="4F81BD" w:themeColor="accent1"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la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39">
    <w:name w:val="Light Shading Accent 2"/>
    <w:basedOn w:val="12"/>
    <w:uiPriority w:val="60"/>
    <w:pPr>
      <w:spacing w:after="0" w:line="240" w:lineRule="auto"/>
    </w:pPr>
    <w:rPr>
      <w:color w:val="953735" w:themeColor="accent2" w:themeShade="BF"/>
    </w:rPr>
    <w:tblPr>
      <w:tblBorders>
        <w:top w:val="single" w:color="C0504D" w:themeColor="accent2" w:sz="8" w:space="0"/>
        <w:bottom w:val="single" w:color="C0504D" w:themeColor="accent2"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la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3" w:themeFill="accent2" w:themeFillTint="3F"/>
      </w:tcPr>
    </w:tblStylePr>
    <w:tblStylePr w:type="band1Horz">
      <w:tblPr/>
      <w:tcPr>
        <w:tcBorders>
          <w:left w:val="nil"/>
          <w:right w:val="nil"/>
          <w:insideH w:val="nil"/>
          <w:insideV w:val="nil"/>
        </w:tcBorders>
        <w:shd w:val="clear" w:color="auto" w:fill="EFD3D3" w:themeFill="accent2" w:themeFillTint="3F"/>
      </w:tcPr>
    </w:tblStylePr>
  </w:style>
  <w:style w:type="table" w:styleId="40">
    <w:name w:val="Light Shading Accent 3"/>
    <w:basedOn w:val="12"/>
    <w:uiPriority w:val="60"/>
    <w:pPr>
      <w:spacing w:after="0" w:line="240" w:lineRule="auto"/>
    </w:pPr>
    <w:rPr>
      <w:color w:val="77933C" w:themeColor="accent3" w:themeShade="BF"/>
    </w:rPr>
    <w:tblPr>
      <w:tblBorders>
        <w:top w:val="single" w:color="9BBB59" w:themeColor="accent3" w:sz="8" w:space="0"/>
        <w:bottom w:val="single" w:color="9BBB59" w:themeColor="accent3"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la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41">
    <w:name w:val="Light Shading Accent 4"/>
    <w:basedOn w:val="12"/>
    <w:uiPriority w:val="60"/>
    <w:pPr>
      <w:spacing w:after="0" w:line="240" w:lineRule="auto"/>
    </w:pPr>
    <w:rPr>
      <w:color w:val="604A7B" w:themeColor="accent4" w:themeShade="BF"/>
    </w:rPr>
    <w:tblPr>
      <w:tblBorders>
        <w:top w:val="single" w:color="8064A2" w:themeColor="accent4" w:sz="8" w:space="0"/>
        <w:bottom w:val="single" w:color="8064A2" w:themeColor="accent4"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la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42">
    <w:name w:val="Light Shading Accent 5"/>
    <w:basedOn w:val="12"/>
    <w:qFormat/>
    <w:uiPriority w:val="60"/>
    <w:pPr>
      <w:spacing w:after="0" w:line="240" w:lineRule="auto"/>
    </w:pPr>
    <w:rPr>
      <w:color w:val="31859C" w:themeColor="accent5" w:themeShade="BF"/>
    </w:rPr>
    <w:tblPr>
      <w:tblBorders>
        <w:top w:val="single" w:color="4BACC6" w:themeColor="accent5" w:sz="8" w:space="0"/>
        <w:bottom w:val="single" w:color="4BACC6" w:themeColor="accent5"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la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0" w:themeFill="accent5" w:themeFillTint="3F"/>
      </w:tcPr>
    </w:tblStylePr>
    <w:tblStylePr w:type="band1Horz">
      <w:tblPr/>
      <w:tcPr>
        <w:tcBorders>
          <w:left w:val="nil"/>
          <w:right w:val="nil"/>
          <w:insideH w:val="nil"/>
          <w:insideV w:val="nil"/>
        </w:tcBorders>
        <w:shd w:val="clear" w:color="auto" w:fill="D2EAF0" w:themeFill="accent5" w:themeFillTint="3F"/>
      </w:tcPr>
    </w:tblStylePr>
  </w:style>
  <w:style w:type="table" w:styleId="43">
    <w:name w:val="Light Shading Accent 6"/>
    <w:basedOn w:val="12"/>
    <w:uiPriority w:val="60"/>
    <w:pPr>
      <w:spacing w:after="0" w:line="240" w:lineRule="auto"/>
    </w:pPr>
    <w:rPr>
      <w:color w:val="E46C0A" w:themeColor="accent6" w:themeShade="BF"/>
    </w:rPr>
    <w:tblPr>
      <w:tblBorders>
        <w:top w:val="single" w:color="F79646" w:themeColor="accent6" w:sz="8" w:space="0"/>
        <w:bottom w:val="single" w:color="F79646" w:themeColor="accent6"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la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5D1" w:themeFill="accent6" w:themeFillTint="3F"/>
      </w:tcPr>
    </w:tblStylePr>
    <w:tblStylePr w:type="band1Horz">
      <w:tblPr/>
      <w:tcPr>
        <w:tcBorders>
          <w:left w:val="nil"/>
          <w:right w:val="nil"/>
          <w:insideH w:val="nil"/>
          <w:insideV w:val="nil"/>
        </w:tcBorders>
        <w:shd w:val="clear" w:color="auto" w:fill="FDE5D1" w:themeFill="accent6" w:themeFillTint="3F"/>
      </w:tcPr>
    </w:tblStylePr>
  </w:style>
  <w:style w:type="table" w:styleId="44">
    <w:name w:val="Light List"/>
    <w:basedOn w:val="12"/>
    <w:uiPriority w:val="61"/>
    <w:pPr>
      <w:spacing w:after="0" w:line="240" w:lineRule="auto"/>
    </w:pPr>
    <w:tblPr>
      <w:tblBorders>
        <w:top w:val="single" w:color="000000" w:themeColor="text1" w:sz="8" w:space="0"/>
        <w:left w:val="single" w:color="000000" w:themeColor="text1" w:sz="8" w:space="0"/>
        <w:bottom w:val="single" w:color="000000" w:themeColor="text1" w:sz="8" w:space="0"/>
        <w:right w:val="single" w:color="000000" w:themeColor="text1"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000000" w:themeFill="text1"/>
      </w:tcPr>
    </w:tblStylePr>
    <w:tblStylePr w:type="lastRow">
      <w:pPr>
        <w:spacing w:before="0" w:after="0" w:line="240" w:lineRule="auto"/>
      </w:pPr>
      <w:rPr>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tcBorders>
      </w:tcPr>
    </w:tblStylePr>
    <w:tblStylePr w:type="firstCol">
      <w:rPr>
        <w:b/>
        <w:bCs/>
      </w:rPr>
    </w:tblStylePr>
    <w:tblStylePr w:type="lastCol">
      <w:rPr>
        <w:b/>
        <w:bCs/>
      </w:r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style>
  <w:style w:type="table" w:styleId="45">
    <w:name w:val="Light List Accent 1"/>
    <w:basedOn w:val="12"/>
    <w:qFormat/>
    <w:uiPriority w:val="61"/>
    <w:pPr>
      <w:spacing w:after="0" w:line="240" w:lineRule="auto"/>
    </w:pPr>
    <w:tblPr>
      <w:tblBorders>
        <w:top w:val="single" w:color="4F81BD" w:themeColor="accent1" w:sz="8" w:space="0"/>
        <w:left w:val="single" w:color="4F81BD" w:themeColor="accent1" w:sz="8" w:space="0"/>
        <w:bottom w:val="single" w:color="4F81BD" w:themeColor="accent1" w:sz="8" w:space="0"/>
        <w:right w:val="single" w:color="4F81BD" w:themeColor="accent1"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4F81BD" w:themeFill="accent1"/>
      </w:tcPr>
    </w:tblStylePr>
    <w:tblStylePr w:type="lastRow">
      <w:pPr>
        <w:spacing w:before="0" w:after="0" w:line="240" w:lineRule="auto"/>
      </w:pPr>
      <w:rPr>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tcBorders>
      </w:tcPr>
    </w:tblStylePr>
    <w:tblStylePr w:type="firstCol">
      <w:rPr>
        <w:b/>
        <w:bCs/>
      </w:rPr>
    </w:tblStylePr>
    <w:tblStylePr w:type="lastCol">
      <w:rPr>
        <w:b/>
        <w:bCs/>
      </w:r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style>
  <w:style w:type="table" w:styleId="46">
    <w:name w:val="Light List Accent 2"/>
    <w:basedOn w:val="12"/>
    <w:qFormat/>
    <w:uiPriority w:val="61"/>
    <w:pPr>
      <w:spacing w:after="0" w:line="240" w:lineRule="auto"/>
    </w:pPr>
    <w:tblPr>
      <w:tblBorders>
        <w:top w:val="single" w:color="C0504D" w:themeColor="accent2" w:sz="8" w:space="0"/>
        <w:left w:val="single" w:color="C0504D" w:themeColor="accent2" w:sz="8" w:space="0"/>
        <w:bottom w:val="single" w:color="C0504D" w:themeColor="accent2" w:sz="8" w:space="0"/>
        <w:right w:val="single" w:color="C0504D" w:themeColor="accent2"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C0504D" w:themeFill="accent2"/>
      </w:tcPr>
    </w:tblStylePr>
    <w:tblStylePr w:type="lastRow">
      <w:pPr>
        <w:spacing w:before="0" w:after="0" w:line="240" w:lineRule="auto"/>
      </w:pPr>
      <w:rPr>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tcBorders>
      </w:tcPr>
    </w:tblStylePr>
    <w:tblStylePr w:type="firstCol">
      <w:rPr>
        <w:b/>
        <w:bCs/>
      </w:rPr>
    </w:tblStylePr>
    <w:tblStylePr w:type="lastCol">
      <w:rPr>
        <w:b/>
        <w:bCs/>
      </w:r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style>
  <w:style w:type="table" w:styleId="47">
    <w:name w:val="Light List Accent 3"/>
    <w:basedOn w:val="12"/>
    <w:uiPriority w:val="61"/>
    <w:pPr>
      <w:spacing w:after="0" w:line="240" w:lineRule="auto"/>
    </w:pPr>
    <w:tblPr>
      <w:tblBorders>
        <w:top w:val="single" w:color="9BBB59" w:themeColor="accent3" w:sz="8" w:space="0"/>
        <w:left w:val="single" w:color="9BBB59" w:themeColor="accent3" w:sz="8" w:space="0"/>
        <w:bottom w:val="single" w:color="9BBB59" w:themeColor="accent3" w:sz="8" w:space="0"/>
        <w:right w:val="single" w:color="9BBB59" w:themeColor="accent3"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9BBB59" w:themeFill="accent3"/>
      </w:tcPr>
    </w:tblStylePr>
    <w:tblStylePr w:type="lastRow">
      <w:pPr>
        <w:spacing w:before="0" w:after="0" w:line="240" w:lineRule="auto"/>
      </w:pPr>
      <w:rPr>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tcBorders>
      </w:tcPr>
    </w:tblStylePr>
    <w:tblStylePr w:type="firstCol">
      <w:rPr>
        <w:b/>
        <w:bCs/>
      </w:rPr>
    </w:tblStylePr>
    <w:tblStylePr w:type="lastCol">
      <w:rPr>
        <w:b/>
        <w:bCs/>
      </w:r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style>
  <w:style w:type="table" w:styleId="48">
    <w:name w:val="Light List Accent 4"/>
    <w:basedOn w:val="12"/>
    <w:uiPriority w:val="61"/>
    <w:pPr>
      <w:spacing w:after="0" w:line="240" w:lineRule="auto"/>
    </w:pPr>
    <w:tblPr>
      <w:tblBorders>
        <w:top w:val="single" w:color="8064A2" w:themeColor="accent4" w:sz="8" w:space="0"/>
        <w:left w:val="single" w:color="8064A2" w:themeColor="accent4" w:sz="8" w:space="0"/>
        <w:bottom w:val="single" w:color="8064A2" w:themeColor="accent4" w:sz="8" w:space="0"/>
        <w:right w:val="single" w:color="8064A2" w:themeColor="accent4"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8064A2" w:themeFill="accent4"/>
      </w:tcPr>
    </w:tblStylePr>
    <w:tblStylePr w:type="lastRow">
      <w:pPr>
        <w:spacing w:before="0" w:after="0" w:line="240" w:lineRule="auto"/>
      </w:pPr>
      <w:rPr>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tcBorders>
      </w:tcPr>
    </w:tblStylePr>
    <w:tblStylePr w:type="firstCol">
      <w:rPr>
        <w:b/>
        <w:bCs/>
      </w:rPr>
    </w:tblStylePr>
    <w:tblStylePr w:type="lastCol">
      <w:rPr>
        <w:b/>
        <w:bCs/>
      </w:r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style>
  <w:style w:type="table" w:styleId="49">
    <w:name w:val="Light List Accent 5"/>
    <w:basedOn w:val="12"/>
    <w:qFormat/>
    <w:uiPriority w:val="61"/>
    <w:pPr>
      <w:spacing w:after="0" w:line="240" w:lineRule="auto"/>
    </w:pPr>
    <w:tblPr>
      <w:tblBorders>
        <w:top w:val="single" w:color="4BACC6" w:themeColor="accent5" w:sz="8" w:space="0"/>
        <w:left w:val="single" w:color="4BACC6" w:themeColor="accent5" w:sz="8" w:space="0"/>
        <w:bottom w:val="single" w:color="4BACC6" w:themeColor="accent5" w:sz="8" w:space="0"/>
        <w:right w:val="single" w:color="4BACC6" w:themeColor="accent5"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4BACC6" w:themeFill="accent5"/>
      </w:tcPr>
    </w:tblStylePr>
    <w:tblStylePr w:type="lastRow">
      <w:pPr>
        <w:spacing w:before="0" w:after="0" w:line="240" w:lineRule="auto"/>
      </w:pPr>
      <w:rPr>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tcBorders>
      </w:tcPr>
    </w:tblStylePr>
    <w:tblStylePr w:type="firstCol">
      <w:rPr>
        <w:b/>
        <w:bCs/>
      </w:rPr>
    </w:tblStylePr>
    <w:tblStylePr w:type="lastCol">
      <w:rPr>
        <w:b/>
        <w:bCs/>
      </w:r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style>
  <w:style w:type="table" w:styleId="50">
    <w:name w:val="Light List Accent 6"/>
    <w:basedOn w:val="12"/>
    <w:qFormat/>
    <w:uiPriority w:val="61"/>
    <w:pPr>
      <w:spacing w:after="0" w:line="240" w:lineRule="auto"/>
    </w:pPr>
    <w:tblPr>
      <w:tblBorders>
        <w:top w:val="single" w:color="F79646" w:themeColor="accent6" w:sz="8" w:space="0"/>
        <w:left w:val="single" w:color="F79646" w:themeColor="accent6" w:sz="8" w:space="0"/>
        <w:bottom w:val="single" w:color="F79646" w:themeColor="accent6" w:sz="8" w:space="0"/>
        <w:right w:val="single" w:color="F79646" w:themeColor="accent6"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F79646" w:themeFill="accent6"/>
      </w:tcPr>
    </w:tblStylePr>
    <w:tblStylePr w:type="lastRow">
      <w:pPr>
        <w:spacing w:before="0" w:after="0" w:line="240" w:lineRule="auto"/>
      </w:pPr>
      <w:rPr>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tcBorders>
      </w:tcPr>
    </w:tblStylePr>
    <w:tblStylePr w:type="firstCol">
      <w:rPr>
        <w:b/>
        <w:bCs/>
      </w:rPr>
    </w:tblStylePr>
    <w:tblStylePr w:type="lastCol">
      <w:rPr>
        <w:b/>
        <w:bCs/>
      </w:r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style>
  <w:style w:type="table" w:styleId="51">
    <w:name w:val="Light Grid"/>
    <w:basedOn w:val="12"/>
    <w:qFormat/>
    <w:uiPriority w:val="62"/>
    <w:pPr>
      <w:spacing w:after="0" w:line="240" w:lineRule="auto"/>
    </w:pPr>
    <w:tblPr>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18" w:space="0"/>
          <w:right w:val="single" w:color="000000" w:themeColor="text1"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color="auto" w:fill="BFBFBF" w:themeFill="text1" w:themeFillTint="3F"/>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sz="8" w:space="0"/>
        </w:tcBorders>
        <w:shd w:val="clear" w:color="auto" w:fill="BFBFBF" w:themeFill="text1" w:themeFillTint="3F"/>
      </w:tcPr>
    </w:tblStylePr>
    <w:tblStylePr w:type="band2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sz="8" w:space="0"/>
        </w:tcBorders>
      </w:tcPr>
    </w:tblStylePr>
  </w:style>
  <w:style w:type="table" w:styleId="52">
    <w:name w:val="Light Grid Accent 1"/>
    <w:basedOn w:val="12"/>
    <w:qFormat/>
    <w:uiPriority w:val="62"/>
    <w:pPr>
      <w:spacing w:after="0" w:line="240" w:lineRule="auto"/>
    </w:pPr>
    <w:tblPr>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18" w:space="0"/>
          <w:right w:val="single" w:color="4F81BD" w:themeColor="accent1"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shd w:val="clear" w:color="auto" w:fill="D3DFEE" w:themeFill="accent1" w:themeFillTint="3F"/>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sz="8" w:space="0"/>
        </w:tcBorders>
        <w:shd w:val="clear" w:color="auto" w:fill="D3DFEE" w:themeFill="accent1" w:themeFillTint="3F"/>
      </w:tcPr>
    </w:tblStylePr>
    <w:tblStylePr w:type="band2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sz="8" w:space="0"/>
        </w:tcBorders>
      </w:tcPr>
    </w:tblStylePr>
  </w:style>
  <w:style w:type="table" w:styleId="53">
    <w:name w:val="Light Grid Accent 2"/>
    <w:basedOn w:val="12"/>
    <w:qFormat/>
    <w:uiPriority w:val="62"/>
    <w:pPr>
      <w:spacing w:after="0" w:line="240" w:lineRule="auto"/>
    </w:pPr>
    <w:tblPr>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18" w:space="0"/>
          <w:right w:val="single" w:color="C0504D" w:themeColor="accent2"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shd w:val="clear" w:color="auto" w:fill="EFD3D3" w:themeFill="accent2" w:themeFillTint="3F"/>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sz="8" w:space="0"/>
        </w:tcBorders>
        <w:shd w:val="clear" w:color="auto" w:fill="EFD3D3" w:themeFill="accent2" w:themeFillTint="3F"/>
      </w:tcPr>
    </w:tblStylePr>
    <w:tblStylePr w:type="band2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sz="8" w:space="0"/>
        </w:tcBorders>
      </w:tcPr>
    </w:tblStylePr>
  </w:style>
  <w:style w:type="table" w:styleId="54">
    <w:name w:val="Light Grid Accent 3"/>
    <w:basedOn w:val="12"/>
    <w:qFormat/>
    <w:uiPriority w:val="62"/>
    <w:pPr>
      <w:spacing w:after="0" w:line="240" w:lineRule="auto"/>
    </w:pPr>
    <w:tblPr>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18" w:space="0"/>
          <w:right w:val="single" w:color="9BBB59" w:themeColor="accent3"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shd w:val="clear" w:color="auto" w:fill="E6EED5" w:themeFill="accent3" w:themeFillTint="3F"/>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sz="8" w:space="0"/>
        </w:tcBorders>
        <w:shd w:val="clear" w:color="auto" w:fill="E6EED5" w:themeFill="accent3" w:themeFillTint="3F"/>
      </w:tcPr>
    </w:tblStylePr>
    <w:tblStylePr w:type="band2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sz="8" w:space="0"/>
        </w:tcBorders>
      </w:tcPr>
    </w:tblStylePr>
  </w:style>
  <w:style w:type="table" w:styleId="55">
    <w:name w:val="Light Grid Accent 4"/>
    <w:basedOn w:val="12"/>
    <w:qFormat/>
    <w:uiPriority w:val="62"/>
    <w:pPr>
      <w:spacing w:after="0" w:line="240" w:lineRule="auto"/>
    </w:pPr>
    <w:tblPr>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18" w:space="0"/>
          <w:right w:val="single" w:color="8064A2" w:themeColor="accent4"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shd w:val="clear" w:color="auto" w:fill="DFD8E8" w:themeFill="accent4" w:themeFillTint="3F"/>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sz="8" w:space="0"/>
        </w:tcBorders>
        <w:shd w:val="clear" w:color="auto" w:fill="DFD8E8" w:themeFill="accent4" w:themeFillTint="3F"/>
      </w:tcPr>
    </w:tblStylePr>
    <w:tblStylePr w:type="band2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sz="8" w:space="0"/>
        </w:tcBorders>
      </w:tcPr>
    </w:tblStylePr>
  </w:style>
  <w:style w:type="table" w:styleId="56">
    <w:name w:val="Light Grid Accent 5"/>
    <w:basedOn w:val="12"/>
    <w:qFormat/>
    <w:uiPriority w:val="62"/>
    <w:pPr>
      <w:spacing w:after="0" w:line="240" w:lineRule="auto"/>
    </w:pPr>
    <w:tblPr>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18" w:space="0"/>
          <w:right w:val="single" w:color="4BACC6" w:themeColor="accent5"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shd w:val="clear" w:color="auto" w:fill="D2EAF0" w:themeFill="accent5" w:themeFillTint="3F"/>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sz="8" w:space="0"/>
        </w:tcBorders>
        <w:shd w:val="clear" w:color="auto" w:fill="D2EAF0" w:themeFill="accent5" w:themeFillTint="3F"/>
      </w:tcPr>
    </w:tblStylePr>
    <w:tblStylePr w:type="band2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sz="8" w:space="0"/>
        </w:tcBorders>
      </w:tcPr>
    </w:tblStylePr>
  </w:style>
  <w:style w:type="table" w:styleId="57">
    <w:name w:val="Light Grid Accent 6"/>
    <w:basedOn w:val="12"/>
    <w:qFormat/>
    <w:uiPriority w:val="62"/>
    <w:pPr>
      <w:spacing w:after="0" w:line="240" w:lineRule="auto"/>
    </w:pPr>
    <w:tblPr>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18" w:space="0"/>
          <w:right w:val="single" w:color="F79646" w:themeColor="accent6"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shd w:val="clear" w:color="auto" w:fill="FDE5D1" w:themeFill="accent6" w:themeFillTint="3F"/>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sz="8" w:space="0"/>
        </w:tcBorders>
        <w:shd w:val="clear" w:color="auto" w:fill="FDE5D1" w:themeFill="accent6" w:themeFillTint="3F"/>
      </w:tcPr>
    </w:tblStylePr>
    <w:tblStylePr w:type="band2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sz="8" w:space="0"/>
        </w:tcBorders>
      </w:tcPr>
    </w:tblStylePr>
  </w:style>
  <w:style w:type="table" w:styleId="58">
    <w:name w:val="Medium Shading 1"/>
    <w:basedOn w:val="12"/>
    <w:qFormat/>
    <w:uiPriority w:val="63"/>
    <w:pPr>
      <w:spacing w:after="0" w:line="240" w:lineRule="auto"/>
    </w:pPr>
    <w:tblPr>
      <w:tbl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single" w:color="3F3F3F" w:themeColor="text1"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nil"/>
          <w:insideV w:val="nil"/>
        </w:tcBorders>
        <w:shd w:val="clear" w:color="auto" w:fill="000000" w:themeFill="text1"/>
      </w:tcPr>
    </w:tblStylePr>
    <w:tblStylePr w:type="lastRow">
      <w:pPr>
        <w:spacing w:before="0" w:after="0" w:line="240" w:lineRule="auto"/>
      </w:pPr>
      <w:rPr>
        <w:b/>
        <w:bCs/>
      </w:rPr>
      <w:tblPr/>
      <w:tcPr>
        <w:tcBorders>
          <w:top w:val="double" w:color="3F3F3F" w:themeColor="text1" w:themeTint="BF" w:sz="6" w:space="0"/>
          <w:left w:val="single" w:color="3F3F3F" w:themeColor="text1" w:themeTint="BF" w:sz="8" w:space="0"/>
          <w:bottom w:val="single" w:color="3F3F3F" w:themeColor="text1" w:themeTint="BF" w:sz="8" w:space="0"/>
          <w:right w:val="single" w:color="3F3F3F" w:themeColor="text1" w:themeTint="BF" w:sz="8" w:space="0"/>
          <w:insideH w:val="nil"/>
          <w:insideV w:val="nil"/>
        </w:tcBorders>
      </w:tcPr>
    </w:tblStylePr>
    <w:tblStylePr w:type="firstCol">
      <w:rPr>
        <w:b/>
        <w:bCs/>
      </w:rPr>
    </w:tblStylePr>
    <w:tblStylePr w:type="lastCol">
      <w:rPr>
        <w:b/>
        <w:bCs/>
      </w:rPr>
    </w:tblStylePr>
    <w:tblStylePr w:type="band1Vert">
      <w:tblPr/>
      <w:tcPr>
        <w:shd w:val="clear" w:color="auto" w:fill="BFBFBF" w:themeFill="text1" w:themeFillTint="3F"/>
      </w:tcPr>
    </w:tblStylePr>
    <w:tblStylePr w:type="band1Horz">
      <w:tblPr/>
      <w:tcPr>
        <w:tcBorders>
          <w:insideH w:val="nil"/>
          <w:insideV w:val="nil"/>
        </w:tcBorders>
        <w:shd w:val="clear" w:color="auto" w:fill="BFBFBF" w:themeFill="text1" w:themeFillTint="3F"/>
      </w:tcPr>
    </w:tblStylePr>
    <w:tblStylePr w:type="band2Horz">
      <w:tblPr/>
      <w:tcPr>
        <w:tcBorders>
          <w:insideH w:val="nil"/>
          <w:insideV w:val="nil"/>
        </w:tcBorders>
      </w:tcPr>
    </w:tblStylePr>
  </w:style>
  <w:style w:type="table" w:styleId="59">
    <w:name w:val="Medium Shading 1 Accent 1"/>
    <w:basedOn w:val="12"/>
    <w:qFormat/>
    <w:uiPriority w:val="63"/>
    <w:pPr>
      <w:spacing w:after="0" w:line="240" w:lineRule="auto"/>
    </w:pPr>
    <w:tblPr>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shd w:val="clear" w:color="auto" w:fill="4F81BD" w:themeFill="accent1"/>
      </w:tcPr>
    </w:tblStylePr>
    <w:tblStylePr w:type="lastRow">
      <w:pPr>
        <w:spacing w:before="0" w:after="0" w:line="240" w:lineRule="auto"/>
      </w:pPr>
      <w:rPr>
        <w:b/>
        <w:bCs/>
      </w:rPr>
      <w:tblPr/>
      <w:tcPr>
        <w:tcBorders>
          <w:top w:val="double" w:color="7BA0CD" w:themeColor="accent1" w:themeTint="BF" w:sz="6"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60">
    <w:name w:val="Medium Shading 1 Accent 2"/>
    <w:basedOn w:val="12"/>
    <w:qFormat/>
    <w:uiPriority w:val="63"/>
    <w:pPr>
      <w:spacing w:after="0" w:line="240" w:lineRule="auto"/>
    </w:pPr>
    <w:tblPr>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shd w:val="clear" w:color="auto" w:fill="C0504D" w:themeFill="accent2"/>
      </w:tcPr>
    </w:tblStylePr>
    <w:tblStylePr w:type="lastRow">
      <w:pPr>
        <w:spacing w:before="0" w:after="0" w:line="240" w:lineRule="auto"/>
      </w:pPr>
      <w:rPr>
        <w:b/>
        <w:bCs/>
      </w:rPr>
      <w:tblPr/>
      <w:tcPr>
        <w:tcBorders>
          <w:top w:val="double" w:color="CF7B79" w:themeColor="accent2" w:themeTint="BF" w:sz="6"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tcPr>
    </w:tblStylePr>
    <w:tblStylePr w:type="firstCol">
      <w:rPr>
        <w:b/>
        <w:bCs/>
      </w:rPr>
    </w:tblStylePr>
    <w:tblStylePr w:type="lastCol">
      <w:rPr>
        <w:b/>
        <w:bCs/>
      </w:rPr>
    </w:tblStylePr>
    <w:tblStylePr w:type="band1Vert">
      <w:tblPr/>
      <w:tcPr>
        <w:shd w:val="clear" w:color="auto" w:fill="EFD3D3" w:themeFill="accent2" w:themeFillTint="3F"/>
      </w:tcPr>
    </w:tblStylePr>
    <w:tblStylePr w:type="band1Horz">
      <w:tblPr/>
      <w:tcPr>
        <w:tcBorders>
          <w:insideH w:val="nil"/>
          <w:insideV w:val="nil"/>
        </w:tcBorders>
        <w:shd w:val="clear" w:color="auto" w:fill="EFD3D3" w:themeFill="accent2" w:themeFillTint="3F"/>
      </w:tcPr>
    </w:tblStylePr>
    <w:tblStylePr w:type="band2Horz">
      <w:tblPr/>
      <w:tcPr>
        <w:tcBorders>
          <w:insideH w:val="nil"/>
          <w:insideV w:val="nil"/>
        </w:tcBorders>
      </w:tcPr>
    </w:tblStylePr>
  </w:style>
  <w:style w:type="table" w:styleId="61">
    <w:name w:val="Medium Shading 1 Accent 3"/>
    <w:basedOn w:val="12"/>
    <w:qFormat/>
    <w:uiPriority w:val="63"/>
    <w:pPr>
      <w:spacing w:after="0" w:line="240" w:lineRule="auto"/>
    </w:pPr>
    <w:tblPr>
      <w:tbl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single" w:color="B4CC82" w:themeColor="accent3"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nil"/>
          <w:insideV w:val="nil"/>
        </w:tcBorders>
        <w:shd w:val="clear" w:color="auto" w:fill="9BBB59" w:themeFill="accent3"/>
      </w:tcPr>
    </w:tblStylePr>
    <w:tblStylePr w:type="lastRow">
      <w:pPr>
        <w:spacing w:before="0" w:after="0" w:line="240" w:lineRule="auto"/>
      </w:pPr>
      <w:rPr>
        <w:b/>
        <w:bCs/>
      </w:rPr>
      <w:tblPr/>
      <w:tcPr>
        <w:tcBorders>
          <w:top w:val="double" w:color="B4CC82" w:themeColor="accent3" w:themeTint="BF" w:sz="6" w:space="0"/>
          <w:left w:val="single" w:color="B4CC82" w:themeColor="accent3" w:themeTint="BF" w:sz="8" w:space="0"/>
          <w:bottom w:val="single" w:color="B4CC82" w:themeColor="accent3" w:themeTint="BF" w:sz="8" w:space="0"/>
          <w:right w:val="single" w:color="B4CC82" w:themeColor="accent3" w:themeTint="BF" w:sz="8" w:space="0"/>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62">
    <w:name w:val="Medium Shading 1 Accent 4"/>
    <w:basedOn w:val="12"/>
    <w:qFormat/>
    <w:uiPriority w:val="63"/>
    <w:pPr>
      <w:spacing w:after="0" w:line="240" w:lineRule="auto"/>
    </w:pPr>
    <w:tblPr>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shd w:val="clear" w:color="auto" w:fill="8064A2" w:themeFill="accent4"/>
      </w:tcPr>
    </w:tblStylePr>
    <w:tblStylePr w:type="lastRow">
      <w:pPr>
        <w:spacing w:before="0" w:after="0" w:line="240" w:lineRule="auto"/>
      </w:pPr>
      <w:rPr>
        <w:b/>
        <w:bCs/>
      </w:rPr>
      <w:tblPr/>
      <w:tcPr>
        <w:tcBorders>
          <w:top w:val="double" w:color="9F8AB9" w:themeColor="accent4" w:themeTint="BF" w:sz="6"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63">
    <w:name w:val="Medium Shading 1 Accent 5"/>
    <w:basedOn w:val="12"/>
    <w:qFormat/>
    <w:uiPriority w:val="63"/>
    <w:pPr>
      <w:spacing w:after="0" w:line="240" w:lineRule="auto"/>
    </w:pPr>
    <w:tblPr>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shd w:val="clear" w:color="auto" w:fill="4BACC6" w:themeFill="accent5"/>
      </w:tcPr>
    </w:tblStylePr>
    <w:tblStylePr w:type="lastRow">
      <w:pPr>
        <w:spacing w:before="0" w:after="0" w:line="240" w:lineRule="auto"/>
      </w:pPr>
      <w:rPr>
        <w:b/>
        <w:bCs/>
      </w:rPr>
      <w:tblPr/>
      <w:tcPr>
        <w:tcBorders>
          <w:top w:val="double" w:color="78C0D4" w:themeColor="accent5" w:themeTint="BF" w:sz="6"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tcPr>
    </w:tblStylePr>
    <w:tblStylePr w:type="firstCol">
      <w:rPr>
        <w:b/>
        <w:bCs/>
      </w:rPr>
    </w:tblStylePr>
    <w:tblStylePr w:type="lastCol">
      <w:rPr>
        <w:b/>
        <w:bCs/>
      </w:rPr>
    </w:tblStylePr>
    <w:tblStylePr w:type="band1Vert">
      <w:tblPr/>
      <w:tcPr>
        <w:shd w:val="clear" w:color="auto" w:fill="D2EAF0" w:themeFill="accent5" w:themeFillTint="3F"/>
      </w:tcPr>
    </w:tblStylePr>
    <w:tblStylePr w:type="band1Horz">
      <w:tblPr/>
      <w:tcPr>
        <w:tcBorders>
          <w:insideH w:val="nil"/>
          <w:insideV w:val="nil"/>
        </w:tcBorders>
        <w:shd w:val="clear" w:color="auto" w:fill="D2EAF0" w:themeFill="accent5" w:themeFillTint="3F"/>
      </w:tcPr>
    </w:tblStylePr>
    <w:tblStylePr w:type="band2Horz">
      <w:tblPr/>
      <w:tcPr>
        <w:tcBorders>
          <w:insideH w:val="nil"/>
          <w:insideV w:val="nil"/>
        </w:tcBorders>
      </w:tcPr>
    </w:tblStylePr>
  </w:style>
  <w:style w:type="table" w:styleId="64">
    <w:name w:val="Medium Shading 1 Accent 6"/>
    <w:basedOn w:val="12"/>
    <w:qFormat/>
    <w:uiPriority w:val="63"/>
    <w:pPr>
      <w:spacing w:after="0" w:line="240" w:lineRule="auto"/>
    </w:pPr>
    <w:tblPr>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shd w:val="clear" w:color="auto" w:fill="F79646" w:themeFill="accent6"/>
      </w:tcPr>
    </w:tblStylePr>
    <w:tblStylePr w:type="lastRow">
      <w:pPr>
        <w:spacing w:before="0" w:after="0" w:line="240" w:lineRule="auto"/>
      </w:pPr>
      <w:rPr>
        <w:b/>
        <w:bCs/>
      </w:rPr>
      <w:tblPr/>
      <w:tcPr>
        <w:tcBorders>
          <w:top w:val="double" w:color="F9B074" w:themeColor="accent6" w:themeTint="BF" w:sz="6"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tcPr>
    </w:tblStylePr>
    <w:tblStylePr w:type="firstCol">
      <w:rPr>
        <w:b/>
        <w:bCs/>
      </w:rPr>
    </w:tblStylePr>
    <w:tblStylePr w:type="lastCol">
      <w:rPr>
        <w:b/>
        <w:bCs/>
      </w:rPr>
    </w:tblStylePr>
    <w:tblStylePr w:type="band1Vert">
      <w:tblPr/>
      <w:tcPr>
        <w:shd w:val="clear" w:color="auto" w:fill="FDE5D1" w:themeFill="accent6" w:themeFillTint="3F"/>
      </w:tcPr>
    </w:tblStylePr>
    <w:tblStylePr w:type="band1Horz">
      <w:tblPr/>
      <w:tcPr>
        <w:tcBorders>
          <w:insideH w:val="nil"/>
          <w:insideV w:val="nil"/>
        </w:tcBorders>
        <w:shd w:val="clear" w:color="auto" w:fill="FDE5D1" w:themeFill="accent6" w:themeFillTint="3F"/>
      </w:tcPr>
    </w:tblStylePr>
    <w:tblStylePr w:type="band2Horz">
      <w:tblPr/>
      <w:tcPr>
        <w:tcBorders>
          <w:insideH w:val="nil"/>
          <w:insideV w:val="nil"/>
        </w:tcBorders>
      </w:tcPr>
    </w:tblStylePr>
  </w:style>
  <w:style w:type="table" w:styleId="65">
    <w:name w:val="Medium Shading 2"/>
    <w:basedOn w:val="12"/>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000000" w:themeFill="text1"/>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6">
    <w:name w:val="Medium Shading 2 Accent 1"/>
    <w:basedOn w:val="12"/>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4F81BD" w:themeFill="accent1"/>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7">
    <w:name w:val="Medium Shading 2 Accent 2"/>
    <w:basedOn w:val="12"/>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C0504D" w:themeFill="accent2"/>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8">
    <w:name w:val="Medium Shading 2 Accent 3"/>
    <w:basedOn w:val="12"/>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9BBB59" w:themeFill="accent3"/>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9">
    <w:name w:val="Medium Shading 2 Accent 4"/>
    <w:basedOn w:val="12"/>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8064A2" w:themeFill="accent4"/>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70">
    <w:name w:val="Medium Shading 2 Accent 5"/>
    <w:basedOn w:val="12"/>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4BACC6" w:themeFill="accent5"/>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71">
    <w:name w:val="Medium Shading 2 Accent 6"/>
    <w:basedOn w:val="12"/>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F79646" w:themeFill="accent6"/>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72">
    <w:name w:val="Medium List 1"/>
    <w:basedOn w:val="12"/>
    <w:uiPriority w:val="65"/>
    <w:pPr>
      <w:spacing w:after="0" w:line="240" w:lineRule="auto"/>
    </w:pPr>
    <w:rPr>
      <w:color w:val="000000" w:themeColor="text1"/>
      <w14:textFill>
        <w14:solidFill>
          <w14:schemeClr w14:val="tx1"/>
        </w14:solidFill>
      </w14:textFill>
    </w:rPr>
    <w:tblPr>
      <w:tblBorders>
        <w:top w:val="single" w:color="000000" w:themeColor="text1" w:sz="8" w:space="0"/>
        <w:bottom w:val="single" w:color="000000" w:themeColor="text1"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000000" w:themeColor="text1" w:sz="8" w:space="0"/>
        </w:tcBorders>
      </w:tcPr>
    </w:tblStylePr>
    <w:tblStylePr w:type="lastRow">
      <w:rPr>
        <w:b/>
        <w:bCs/>
        <w:color w:val="1F497D" w:themeColor="text2"/>
        <w14:textFill>
          <w14:solidFill>
            <w14:schemeClr w14:val="tx2"/>
          </w14:solidFill>
        </w14:textFill>
      </w:rPr>
      <w:tblPr/>
      <w:tcPr>
        <w:tcBorders>
          <w:top w:val="single" w:color="000000" w:themeColor="text1" w:sz="8" w:space="0"/>
          <w:bottom w:val="single" w:color="000000" w:themeColor="text1" w:sz="8" w:space="0"/>
        </w:tcBorders>
      </w:tcPr>
    </w:tblStylePr>
    <w:tblStylePr w:type="firstCol">
      <w:rPr>
        <w:b/>
        <w:bCs/>
      </w:rPr>
    </w:tblStylePr>
    <w:tblStylePr w:type="lastCol">
      <w:rPr>
        <w:b/>
        <w:bCs/>
      </w:rPr>
      <w:tblPr/>
      <w:tcPr>
        <w:tcBorders>
          <w:top w:val="single" w:color="000000" w:themeColor="text1" w:sz="8" w:space="0"/>
          <w:bottom w:val="single" w:color="000000" w:themeColor="text1" w:sz="8" w:space="0"/>
        </w:tcBorders>
      </w:tcPr>
    </w:tblStylePr>
    <w:tblStylePr w:type="band1Vert">
      <w:tblPr/>
      <w:tcPr>
        <w:shd w:val="clear" w:color="auto" w:fill="BFBFBF" w:themeFill="text1" w:themeFillTint="3F"/>
      </w:tcPr>
    </w:tblStylePr>
    <w:tblStylePr w:type="band1Horz">
      <w:tblPr/>
      <w:tcPr>
        <w:shd w:val="clear" w:color="auto" w:fill="BFBFBF" w:themeFill="text1" w:themeFillTint="3F"/>
      </w:tcPr>
    </w:tblStylePr>
  </w:style>
  <w:style w:type="table" w:styleId="73">
    <w:name w:val="Medium List 1 Accent 1"/>
    <w:basedOn w:val="12"/>
    <w:uiPriority w:val="65"/>
    <w:pPr>
      <w:spacing w:after="0" w:line="240" w:lineRule="auto"/>
    </w:pPr>
    <w:rPr>
      <w:color w:val="000000" w:themeColor="text1"/>
      <w14:textFill>
        <w14:solidFill>
          <w14:schemeClr w14:val="tx1"/>
        </w14:solidFill>
      </w14:textFill>
    </w:rPr>
    <w:tblPr>
      <w:tblBorders>
        <w:top w:val="single" w:color="4F81BD" w:themeColor="accent1" w:sz="8" w:space="0"/>
        <w:bottom w:val="single" w:color="4F81BD" w:themeColor="accent1"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4F81BD" w:themeColor="accent1" w:sz="8" w:space="0"/>
        </w:tcBorders>
      </w:tcPr>
    </w:tblStylePr>
    <w:tblStylePr w:type="lastRow">
      <w:rPr>
        <w:b/>
        <w:bCs/>
        <w:color w:val="1F497D" w:themeColor="text2"/>
        <w14:textFill>
          <w14:solidFill>
            <w14:schemeClr w14:val="tx2"/>
          </w14:solidFill>
        </w14:textFill>
      </w:rPr>
      <w:tblPr/>
      <w:tcPr>
        <w:tcBorders>
          <w:top w:val="single" w:color="4F81BD" w:themeColor="accent1" w:sz="8" w:space="0"/>
          <w:bottom w:val="single" w:color="4F81BD" w:themeColor="accent1" w:sz="8" w:space="0"/>
        </w:tcBorders>
      </w:tcPr>
    </w:tblStylePr>
    <w:tblStylePr w:type="firstCol">
      <w:rPr>
        <w:b/>
        <w:bCs/>
      </w:rPr>
    </w:tblStylePr>
    <w:tblStylePr w:type="lastCol">
      <w:rPr>
        <w:b/>
        <w:bCs/>
      </w:rPr>
      <w:tblPr/>
      <w:tcPr>
        <w:tcBorders>
          <w:top w:val="single" w:color="4F81BD" w:themeColor="accent1" w:sz="8" w:space="0"/>
          <w:bottom w:val="single" w:color="4F81BD" w:themeColor="accent1" w:sz="8" w:space="0"/>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74">
    <w:name w:val="Medium List 1 Accent 2"/>
    <w:basedOn w:val="12"/>
    <w:uiPriority w:val="65"/>
    <w:pPr>
      <w:spacing w:after="0" w:line="240" w:lineRule="auto"/>
    </w:pPr>
    <w:rPr>
      <w:color w:val="000000" w:themeColor="text1"/>
      <w14:textFill>
        <w14:solidFill>
          <w14:schemeClr w14:val="tx1"/>
        </w14:solidFill>
      </w14:textFill>
    </w:rPr>
    <w:tblPr>
      <w:tblBorders>
        <w:top w:val="single" w:color="C0504D" w:themeColor="accent2" w:sz="8" w:space="0"/>
        <w:bottom w:val="single" w:color="C0504D" w:themeColor="accent2"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C0504D" w:themeColor="accent2" w:sz="8" w:space="0"/>
        </w:tcBorders>
      </w:tcPr>
    </w:tblStylePr>
    <w:tblStylePr w:type="lastRow">
      <w:rPr>
        <w:b/>
        <w:bCs/>
        <w:color w:val="1F497D" w:themeColor="text2"/>
        <w14:textFill>
          <w14:solidFill>
            <w14:schemeClr w14:val="tx2"/>
          </w14:solidFill>
        </w14:textFill>
      </w:rPr>
      <w:tblPr/>
      <w:tcPr>
        <w:tcBorders>
          <w:top w:val="single" w:color="C0504D" w:themeColor="accent2" w:sz="8" w:space="0"/>
          <w:bottom w:val="single" w:color="C0504D" w:themeColor="accent2" w:sz="8" w:space="0"/>
        </w:tcBorders>
      </w:tcPr>
    </w:tblStylePr>
    <w:tblStylePr w:type="firstCol">
      <w:rPr>
        <w:b/>
        <w:bCs/>
      </w:rPr>
    </w:tblStylePr>
    <w:tblStylePr w:type="lastCol">
      <w:rPr>
        <w:b/>
        <w:bCs/>
      </w:rPr>
      <w:tblPr/>
      <w:tcPr>
        <w:tcBorders>
          <w:top w:val="single" w:color="C0504D" w:themeColor="accent2" w:sz="8" w:space="0"/>
          <w:bottom w:val="single" w:color="C0504D" w:themeColor="accent2" w:sz="8" w:space="0"/>
        </w:tcBorders>
      </w:tcPr>
    </w:tblStylePr>
    <w:tblStylePr w:type="band1Vert">
      <w:tblPr/>
      <w:tcPr>
        <w:shd w:val="clear" w:color="auto" w:fill="EFD3D3" w:themeFill="accent2" w:themeFillTint="3F"/>
      </w:tcPr>
    </w:tblStylePr>
    <w:tblStylePr w:type="band1Horz">
      <w:tblPr/>
      <w:tcPr>
        <w:shd w:val="clear" w:color="auto" w:fill="EFD3D3" w:themeFill="accent2" w:themeFillTint="3F"/>
      </w:tcPr>
    </w:tblStylePr>
  </w:style>
  <w:style w:type="table" w:styleId="75">
    <w:name w:val="Medium List 1 Accent 3"/>
    <w:basedOn w:val="12"/>
    <w:uiPriority w:val="65"/>
    <w:pPr>
      <w:spacing w:after="0" w:line="240" w:lineRule="auto"/>
    </w:pPr>
    <w:rPr>
      <w:color w:val="000000" w:themeColor="text1"/>
      <w14:textFill>
        <w14:solidFill>
          <w14:schemeClr w14:val="tx1"/>
        </w14:solidFill>
      </w14:textFill>
    </w:rPr>
    <w:tblPr>
      <w:tblBorders>
        <w:top w:val="single" w:color="9BBB59" w:themeColor="accent3" w:sz="8" w:space="0"/>
        <w:bottom w:val="single" w:color="9BBB59" w:themeColor="accent3"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9BBB59" w:themeColor="accent3" w:sz="8" w:space="0"/>
        </w:tcBorders>
      </w:tcPr>
    </w:tblStylePr>
    <w:tblStylePr w:type="lastRow">
      <w:rPr>
        <w:b/>
        <w:bCs/>
        <w:color w:val="1F497D" w:themeColor="text2"/>
        <w14:textFill>
          <w14:solidFill>
            <w14:schemeClr w14:val="tx2"/>
          </w14:solidFill>
        </w14:textFill>
      </w:rPr>
      <w:tblPr/>
      <w:tcPr>
        <w:tcBorders>
          <w:top w:val="single" w:color="9BBB59" w:themeColor="accent3" w:sz="8" w:space="0"/>
          <w:bottom w:val="single" w:color="9BBB59" w:themeColor="accent3" w:sz="8" w:space="0"/>
        </w:tcBorders>
      </w:tcPr>
    </w:tblStylePr>
    <w:tblStylePr w:type="firstCol">
      <w:rPr>
        <w:b/>
        <w:bCs/>
      </w:rPr>
    </w:tblStylePr>
    <w:tblStylePr w:type="lastCol">
      <w:rPr>
        <w:b/>
        <w:bCs/>
      </w:rPr>
      <w:tblPr/>
      <w:tcPr>
        <w:tcBorders>
          <w:top w:val="single" w:color="9BBB59" w:themeColor="accent3" w:sz="8" w:space="0"/>
          <w:bottom w:val="single" w:color="9BBB59" w:themeColor="accent3" w:sz="8" w:space="0"/>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76">
    <w:name w:val="Medium List 1 Accent 4"/>
    <w:basedOn w:val="12"/>
    <w:uiPriority w:val="65"/>
    <w:pPr>
      <w:spacing w:after="0" w:line="240" w:lineRule="auto"/>
    </w:pPr>
    <w:rPr>
      <w:color w:val="000000" w:themeColor="text1"/>
      <w14:textFill>
        <w14:solidFill>
          <w14:schemeClr w14:val="tx1"/>
        </w14:solidFill>
      </w14:textFill>
    </w:rPr>
    <w:tblPr>
      <w:tblBorders>
        <w:top w:val="single" w:color="8064A2" w:themeColor="accent4" w:sz="8" w:space="0"/>
        <w:bottom w:val="single" w:color="8064A2" w:themeColor="accent4"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8064A2" w:themeColor="accent4" w:sz="8" w:space="0"/>
        </w:tcBorders>
      </w:tcPr>
    </w:tblStylePr>
    <w:tblStylePr w:type="lastRow">
      <w:rPr>
        <w:b/>
        <w:bCs/>
        <w:color w:val="1F497D" w:themeColor="text2"/>
        <w14:textFill>
          <w14:solidFill>
            <w14:schemeClr w14:val="tx2"/>
          </w14:solidFill>
        </w14:textFill>
      </w:rPr>
      <w:tblPr/>
      <w:tcPr>
        <w:tcBorders>
          <w:top w:val="single" w:color="8064A2" w:themeColor="accent4" w:sz="8" w:space="0"/>
          <w:bottom w:val="single" w:color="8064A2" w:themeColor="accent4" w:sz="8" w:space="0"/>
        </w:tcBorders>
      </w:tcPr>
    </w:tblStylePr>
    <w:tblStylePr w:type="firstCol">
      <w:rPr>
        <w:b/>
        <w:bCs/>
      </w:rPr>
    </w:tblStylePr>
    <w:tblStylePr w:type="lastCol">
      <w:rPr>
        <w:b/>
        <w:bCs/>
      </w:rPr>
      <w:tblPr/>
      <w:tcPr>
        <w:tcBorders>
          <w:top w:val="single" w:color="8064A2" w:themeColor="accent4" w:sz="8" w:space="0"/>
          <w:bottom w:val="single" w:color="8064A2" w:themeColor="accent4" w:sz="8" w:space="0"/>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77">
    <w:name w:val="Medium List 1 Accent 5"/>
    <w:basedOn w:val="12"/>
    <w:uiPriority w:val="65"/>
    <w:pPr>
      <w:spacing w:after="0" w:line="240" w:lineRule="auto"/>
    </w:pPr>
    <w:rPr>
      <w:color w:val="000000" w:themeColor="text1"/>
      <w14:textFill>
        <w14:solidFill>
          <w14:schemeClr w14:val="tx1"/>
        </w14:solidFill>
      </w14:textFill>
    </w:rPr>
    <w:tblPr>
      <w:tblBorders>
        <w:top w:val="single" w:color="4BACC6" w:themeColor="accent5" w:sz="8" w:space="0"/>
        <w:bottom w:val="single" w:color="4BACC6" w:themeColor="accent5"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4BACC6" w:themeColor="accent5" w:sz="8" w:space="0"/>
        </w:tcBorders>
      </w:tcPr>
    </w:tblStylePr>
    <w:tblStylePr w:type="lastRow">
      <w:rPr>
        <w:b/>
        <w:bCs/>
        <w:color w:val="1F497D" w:themeColor="text2"/>
        <w14:textFill>
          <w14:solidFill>
            <w14:schemeClr w14:val="tx2"/>
          </w14:solidFill>
        </w14:textFill>
      </w:rPr>
      <w:tblPr/>
      <w:tcPr>
        <w:tcBorders>
          <w:top w:val="single" w:color="4BACC6" w:themeColor="accent5" w:sz="8" w:space="0"/>
          <w:bottom w:val="single" w:color="4BACC6" w:themeColor="accent5" w:sz="8" w:space="0"/>
        </w:tcBorders>
      </w:tcPr>
    </w:tblStylePr>
    <w:tblStylePr w:type="firstCol">
      <w:rPr>
        <w:b/>
        <w:bCs/>
      </w:rPr>
    </w:tblStylePr>
    <w:tblStylePr w:type="lastCol">
      <w:rPr>
        <w:b/>
        <w:bCs/>
      </w:rPr>
      <w:tblPr/>
      <w:tcPr>
        <w:tcBorders>
          <w:top w:val="single" w:color="4BACC6" w:themeColor="accent5" w:sz="8" w:space="0"/>
          <w:bottom w:val="single" w:color="4BACC6" w:themeColor="accent5" w:sz="8" w:space="0"/>
        </w:tcBorders>
      </w:tcPr>
    </w:tblStylePr>
    <w:tblStylePr w:type="band1Vert">
      <w:tblPr/>
      <w:tcPr>
        <w:shd w:val="clear" w:color="auto" w:fill="D2EAF0" w:themeFill="accent5" w:themeFillTint="3F"/>
      </w:tcPr>
    </w:tblStylePr>
    <w:tblStylePr w:type="band1Horz">
      <w:tblPr/>
      <w:tcPr>
        <w:shd w:val="clear" w:color="auto" w:fill="D2EAF0" w:themeFill="accent5" w:themeFillTint="3F"/>
      </w:tcPr>
    </w:tblStylePr>
  </w:style>
  <w:style w:type="table" w:styleId="78">
    <w:name w:val="Medium List 1 Accent 6"/>
    <w:basedOn w:val="12"/>
    <w:uiPriority w:val="65"/>
    <w:pPr>
      <w:spacing w:after="0" w:line="240" w:lineRule="auto"/>
    </w:pPr>
    <w:rPr>
      <w:color w:val="000000" w:themeColor="text1"/>
      <w14:textFill>
        <w14:solidFill>
          <w14:schemeClr w14:val="tx1"/>
        </w14:solidFill>
      </w14:textFill>
    </w:rPr>
    <w:tblPr>
      <w:tblBorders>
        <w:top w:val="single" w:color="F79646" w:themeColor="accent6" w:sz="8" w:space="0"/>
        <w:bottom w:val="single" w:color="F79646" w:themeColor="accent6"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F79646" w:themeColor="accent6" w:sz="8" w:space="0"/>
        </w:tcBorders>
      </w:tcPr>
    </w:tblStylePr>
    <w:tblStylePr w:type="lastRow">
      <w:rPr>
        <w:b/>
        <w:bCs/>
        <w:color w:val="1F497D" w:themeColor="text2"/>
        <w14:textFill>
          <w14:solidFill>
            <w14:schemeClr w14:val="tx2"/>
          </w14:solidFill>
        </w14:textFill>
      </w:rPr>
      <w:tblPr/>
      <w:tcPr>
        <w:tcBorders>
          <w:top w:val="single" w:color="F79646" w:themeColor="accent6" w:sz="8" w:space="0"/>
          <w:bottom w:val="single" w:color="F79646" w:themeColor="accent6" w:sz="8" w:space="0"/>
        </w:tcBorders>
      </w:tcPr>
    </w:tblStylePr>
    <w:tblStylePr w:type="firstCol">
      <w:rPr>
        <w:b/>
        <w:bCs/>
      </w:rPr>
    </w:tblStylePr>
    <w:tblStylePr w:type="lastCol">
      <w:rPr>
        <w:b/>
        <w:bCs/>
      </w:rPr>
      <w:tblPr/>
      <w:tcPr>
        <w:tcBorders>
          <w:top w:val="single" w:color="F79646" w:themeColor="accent6" w:sz="8" w:space="0"/>
          <w:bottom w:val="single" w:color="F79646" w:themeColor="accent6" w:sz="8" w:space="0"/>
        </w:tcBorders>
      </w:tcPr>
    </w:tblStylePr>
    <w:tblStylePr w:type="band1Vert">
      <w:tblPr/>
      <w:tcPr>
        <w:shd w:val="clear" w:color="auto" w:fill="FDE5D1" w:themeFill="accent6" w:themeFillTint="3F"/>
      </w:tcPr>
    </w:tblStylePr>
    <w:tblStylePr w:type="band1Horz">
      <w:tblPr/>
      <w:tcPr>
        <w:shd w:val="clear" w:color="auto" w:fill="FDE5D1" w:themeFill="accent6" w:themeFillTint="3F"/>
      </w:tcPr>
    </w:tblStylePr>
  </w:style>
  <w:style w:type="table" w:styleId="79">
    <w:name w:val="Medium List 2"/>
    <w:basedOn w:val="1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000000" w:themeColor="text1" w:sz="8" w:space="0"/>
        <w:left w:val="single" w:color="000000" w:themeColor="text1" w:sz="8" w:space="0"/>
        <w:bottom w:val="single" w:color="000000" w:themeColor="text1" w:sz="8" w:space="0"/>
        <w:right w:val="single" w:color="000000" w:themeColor="text1" w:sz="8" w:space="0"/>
      </w:tblBorders>
      <w:tblCellMar>
        <w:top w:w="0" w:type="dxa"/>
        <w:left w:w="108" w:type="dxa"/>
        <w:bottom w:w="0" w:type="dxa"/>
        <w:right w:w="108" w:type="dxa"/>
      </w:tblCellMar>
    </w:tblPr>
    <w:tblStylePr w:type="firstRow">
      <w:rPr>
        <w:sz w:val="24"/>
        <w:szCs w:val="24"/>
      </w:rPr>
      <w:tblPr/>
      <w:tcPr>
        <w:tcBorders>
          <w:top w:val="nil"/>
          <w:left w:val="nil"/>
          <w:bottom w:val="single" w:color="000000" w:themeColor="text1" w:sz="24" w:space="0"/>
          <w:right w:val="nil"/>
          <w:insideH w:val="nil"/>
          <w:insideV w:val="nil"/>
        </w:tcBorders>
        <w:shd w:val="clear" w:color="auto" w:fill="FFFFFF" w:themeFill="background1"/>
      </w:tcPr>
    </w:tblStylePr>
    <w:tblStylePr w:type="lastRow">
      <w:tblPr/>
      <w:tcPr>
        <w:tcBorders>
          <w:top w:val="single" w:color="000000" w:themeColor="tex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000000" w:themeColor="text1" w:sz="8" w:space="0"/>
          <w:insideH w:val="nil"/>
          <w:insideV w:val="nil"/>
        </w:tcBorders>
        <w:shd w:val="clear" w:color="auto" w:fill="FFFFFF" w:themeFill="background1"/>
      </w:tcPr>
    </w:tblStylePr>
    <w:tblStylePr w:type="lastCol">
      <w:tblPr/>
      <w:tcPr>
        <w:tcBorders>
          <w:top w:val="nil"/>
          <w:left w:val="single" w:color="000000" w:themeColor="tex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FBFBF" w:themeFill="text1" w:themeFillTint="3F"/>
      </w:tcPr>
    </w:tblStylePr>
    <w:tblStylePr w:type="band1Horz">
      <w:tblPr/>
      <w:tcPr>
        <w:tcBorders>
          <w:top w:val="nil"/>
          <w:bottom w:val="nil"/>
          <w:insideH w:val="nil"/>
          <w:insideV w:val="nil"/>
        </w:tcBorders>
        <w:shd w:val="clear" w:color="auto" w:fill="BFBFBF"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80">
    <w:name w:val="Medium List 2 Accent 1"/>
    <w:basedOn w:val="1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F81BD" w:themeColor="accent1" w:sz="8" w:space="0"/>
        <w:left w:val="single" w:color="4F81BD" w:themeColor="accent1" w:sz="8" w:space="0"/>
        <w:bottom w:val="single" w:color="4F81BD" w:themeColor="accent1" w:sz="8" w:space="0"/>
        <w:right w:val="single" w:color="4F81BD" w:themeColor="accent1" w:sz="8" w:space="0"/>
      </w:tblBorders>
      <w:tblCellMar>
        <w:top w:w="0" w:type="dxa"/>
        <w:left w:w="108" w:type="dxa"/>
        <w:bottom w:w="0" w:type="dxa"/>
        <w:right w:w="108" w:type="dxa"/>
      </w:tblCellMar>
    </w:tblPr>
    <w:tblStylePr w:type="firstRow">
      <w:rPr>
        <w:sz w:val="24"/>
        <w:szCs w:val="24"/>
      </w:rPr>
      <w:tblPr/>
      <w:tcPr>
        <w:tcBorders>
          <w:top w:val="nil"/>
          <w:left w:val="nil"/>
          <w:bottom w:val="single" w:color="4F81BD" w:themeColor="accent1" w:sz="24" w:space="0"/>
          <w:right w:val="nil"/>
          <w:insideH w:val="nil"/>
          <w:insideV w:val="nil"/>
        </w:tcBorders>
        <w:shd w:val="clear" w:color="auto" w:fill="FFFFFF" w:themeFill="background1"/>
      </w:tcPr>
    </w:tblStylePr>
    <w:tblStylePr w:type="lastRow">
      <w:tblPr/>
      <w:tcPr>
        <w:tcBorders>
          <w:top w:val="single" w:color="4F81BD" w:themeColor="accen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F81BD" w:themeColor="accent1" w:sz="8" w:space="0"/>
          <w:insideH w:val="nil"/>
          <w:insideV w:val="nil"/>
        </w:tcBorders>
        <w:shd w:val="clear" w:color="auto" w:fill="FFFFFF" w:themeFill="background1"/>
      </w:tcPr>
    </w:tblStylePr>
    <w:tblStylePr w:type="lastCol">
      <w:tblPr/>
      <w:tcPr>
        <w:tcBorders>
          <w:top w:val="nil"/>
          <w:left w:val="single" w:color="4F81BD" w:themeColor="accen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81">
    <w:name w:val="Medium List 2 Accent 2"/>
    <w:basedOn w:val="12"/>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C0504D" w:themeColor="accent2" w:sz="8" w:space="0"/>
        <w:left w:val="single" w:color="C0504D" w:themeColor="accent2" w:sz="8" w:space="0"/>
        <w:bottom w:val="single" w:color="C0504D" w:themeColor="accent2" w:sz="8" w:space="0"/>
        <w:right w:val="single" w:color="C0504D" w:themeColor="accent2" w:sz="8" w:space="0"/>
      </w:tblBorders>
      <w:tblCellMar>
        <w:top w:w="0" w:type="dxa"/>
        <w:left w:w="108" w:type="dxa"/>
        <w:bottom w:w="0" w:type="dxa"/>
        <w:right w:w="108" w:type="dxa"/>
      </w:tblCellMar>
    </w:tblPr>
    <w:tblStylePr w:type="firstRow">
      <w:rPr>
        <w:sz w:val="24"/>
        <w:szCs w:val="24"/>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tblPr/>
      <w:tcPr>
        <w:tcBorders>
          <w:top w:val="single" w:color="C0504D" w:themeColor="accent2"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C0504D" w:themeColor="accent2" w:sz="8" w:space="0"/>
          <w:insideH w:val="nil"/>
          <w:insideV w:val="nil"/>
        </w:tcBorders>
        <w:shd w:val="clear" w:color="auto" w:fill="FFFFFF" w:themeFill="background1"/>
      </w:tcPr>
    </w:tblStylePr>
    <w:tblStylePr w:type="lastCol">
      <w:tblPr/>
      <w:tcPr>
        <w:tcBorders>
          <w:top w:val="nil"/>
          <w:left w:val="single" w:color="C0504D" w:themeColor="accent2"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3" w:themeFill="accent2" w:themeFillTint="3F"/>
      </w:tcPr>
    </w:tblStylePr>
    <w:tblStylePr w:type="band1Horz">
      <w:tblPr/>
      <w:tcPr>
        <w:tcBorders>
          <w:top w:val="nil"/>
          <w:bottom w:val="nil"/>
          <w:insideH w:val="nil"/>
          <w:insideV w:val="nil"/>
        </w:tcBorders>
        <w:shd w:val="clear" w:color="auto" w:fill="EFD3D3"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82">
    <w:name w:val="Medium List 2 Accent 3"/>
    <w:basedOn w:val="12"/>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9BBB59" w:themeColor="accent3" w:sz="8" w:space="0"/>
        <w:left w:val="single" w:color="9BBB59" w:themeColor="accent3" w:sz="8" w:space="0"/>
        <w:bottom w:val="single" w:color="9BBB59" w:themeColor="accent3" w:sz="8" w:space="0"/>
        <w:right w:val="single" w:color="9BBB59" w:themeColor="accent3" w:sz="8" w:space="0"/>
      </w:tblBorders>
      <w:tblCellMar>
        <w:top w:w="0" w:type="dxa"/>
        <w:left w:w="108" w:type="dxa"/>
        <w:bottom w:w="0" w:type="dxa"/>
        <w:right w:w="108" w:type="dxa"/>
      </w:tblCellMar>
    </w:tblPr>
    <w:tblStylePr w:type="firstRow">
      <w:rPr>
        <w:sz w:val="24"/>
        <w:szCs w:val="24"/>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tblPr/>
      <w:tcPr>
        <w:tcBorders>
          <w:top w:val="single" w:color="9BBB59" w:themeColor="accent3"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9BBB59" w:themeColor="accent3" w:sz="8" w:space="0"/>
          <w:insideH w:val="nil"/>
          <w:insideV w:val="nil"/>
        </w:tcBorders>
        <w:shd w:val="clear" w:color="auto" w:fill="FFFFFF" w:themeFill="background1"/>
      </w:tcPr>
    </w:tblStylePr>
    <w:tblStylePr w:type="lastCol">
      <w:tblPr/>
      <w:tcPr>
        <w:tcBorders>
          <w:top w:val="nil"/>
          <w:left w:val="single" w:color="9BBB59" w:themeColor="accent3"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83">
    <w:name w:val="Medium List 2 Accent 4"/>
    <w:basedOn w:val="1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8064A2" w:themeColor="accent4" w:sz="8" w:space="0"/>
        <w:left w:val="single" w:color="8064A2" w:themeColor="accent4" w:sz="8" w:space="0"/>
        <w:bottom w:val="single" w:color="8064A2" w:themeColor="accent4" w:sz="8" w:space="0"/>
        <w:right w:val="single" w:color="8064A2" w:themeColor="accent4" w:sz="8" w:space="0"/>
      </w:tblBorders>
      <w:tblCellMar>
        <w:top w:w="0" w:type="dxa"/>
        <w:left w:w="108" w:type="dxa"/>
        <w:bottom w:w="0" w:type="dxa"/>
        <w:right w:w="108" w:type="dxa"/>
      </w:tblCellMar>
    </w:tblPr>
    <w:tblStylePr w:type="firstRow">
      <w:rPr>
        <w:sz w:val="24"/>
        <w:szCs w:val="24"/>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tblPr/>
      <w:tcPr>
        <w:tcBorders>
          <w:top w:val="single" w:color="8064A2" w:themeColor="accent4"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8064A2" w:themeColor="accent4" w:sz="8" w:space="0"/>
          <w:insideH w:val="nil"/>
          <w:insideV w:val="nil"/>
        </w:tcBorders>
        <w:shd w:val="clear" w:color="auto" w:fill="FFFFFF" w:themeFill="background1"/>
      </w:tcPr>
    </w:tblStylePr>
    <w:tblStylePr w:type="lastCol">
      <w:tblPr/>
      <w:tcPr>
        <w:tcBorders>
          <w:top w:val="nil"/>
          <w:left w:val="single" w:color="8064A2" w:themeColor="accent4"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84">
    <w:name w:val="Medium List 2 Accent 5"/>
    <w:basedOn w:val="12"/>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BACC6" w:themeColor="accent5" w:sz="8" w:space="0"/>
        <w:left w:val="single" w:color="4BACC6" w:themeColor="accent5" w:sz="8" w:space="0"/>
        <w:bottom w:val="single" w:color="4BACC6" w:themeColor="accent5" w:sz="8" w:space="0"/>
        <w:right w:val="single" w:color="4BACC6" w:themeColor="accent5" w:sz="8" w:space="0"/>
      </w:tblBorders>
      <w:tblCellMar>
        <w:top w:w="0" w:type="dxa"/>
        <w:left w:w="108" w:type="dxa"/>
        <w:bottom w:w="0" w:type="dxa"/>
        <w:right w:w="108" w:type="dxa"/>
      </w:tblCellMar>
    </w:tblPr>
    <w:tblStylePr w:type="firstRow">
      <w:rPr>
        <w:sz w:val="24"/>
        <w:szCs w:val="24"/>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tblPr/>
      <w:tcPr>
        <w:tcBorders>
          <w:top w:val="single" w:color="4BACC6" w:themeColor="accent5"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BACC6" w:themeColor="accent5" w:sz="8" w:space="0"/>
          <w:insideH w:val="nil"/>
          <w:insideV w:val="nil"/>
        </w:tcBorders>
        <w:shd w:val="clear" w:color="auto" w:fill="FFFFFF" w:themeFill="background1"/>
      </w:tcPr>
    </w:tblStylePr>
    <w:tblStylePr w:type="lastCol">
      <w:tblPr/>
      <w:tcPr>
        <w:tcBorders>
          <w:top w:val="nil"/>
          <w:left w:val="single" w:color="4BACC6" w:themeColor="accent5"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0" w:themeFill="accent5" w:themeFillTint="3F"/>
      </w:tcPr>
    </w:tblStylePr>
    <w:tblStylePr w:type="band1Horz">
      <w:tblPr/>
      <w:tcPr>
        <w:tcBorders>
          <w:top w:val="nil"/>
          <w:bottom w:val="nil"/>
          <w:insideH w:val="nil"/>
          <w:insideV w:val="nil"/>
        </w:tcBorders>
        <w:shd w:val="clear" w:color="auto" w:fill="D2EAF0"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85">
    <w:name w:val="Medium List 2 Accent 6"/>
    <w:basedOn w:val="12"/>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F79646" w:themeColor="accent6" w:sz="8" w:space="0"/>
        <w:left w:val="single" w:color="F79646" w:themeColor="accent6" w:sz="8" w:space="0"/>
        <w:bottom w:val="single" w:color="F79646" w:themeColor="accent6" w:sz="8" w:space="0"/>
        <w:right w:val="single" w:color="F79646" w:themeColor="accent6" w:sz="8" w:space="0"/>
      </w:tblBorders>
      <w:tblCellMar>
        <w:top w:w="0" w:type="dxa"/>
        <w:left w:w="108" w:type="dxa"/>
        <w:bottom w:w="0" w:type="dxa"/>
        <w:right w:w="108" w:type="dxa"/>
      </w:tblCellMar>
    </w:tblPr>
    <w:tblStylePr w:type="firstRow">
      <w:rPr>
        <w:sz w:val="24"/>
        <w:szCs w:val="24"/>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tblPr/>
      <w:tcPr>
        <w:tcBorders>
          <w:top w:val="single" w:color="F79646" w:themeColor="accent6"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F79646" w:themeColor="accent6" w:sz="8" w:space="0"/>
          <w:insideH w:val="nil"/>
          <w:insideV w:val="nil"/>
        </w:tcBorders>
        <w:shd w:val="clear" w:color="auto" w:fill="FFFFFF" w:themeFill="background1"/>
      </w:tcPr>
    </w:tblStylePr>
    <w:tblStylePr w:type="lastCol">
      <w:tblPr/>
      <w:tcPr>
        <w:tcBorders>
          <w:top w:val="nil"/>
          <w:left w:val="single" w:color="F79646" w:themeColor="accent6"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5D1" w:themeFill="accent6" w:themeFillTint="3F"/>
      </w:tcPr>
    </w:tblStylePr>
    <w:tblStylePr w:type="band1Horz">
      <w:tblPr/>
      <w:tcPr>
        <w:tcBorders>
          <w:top w:val="nil"/>
          <w:bottom w:val="nil"/>
          <w:insideH w:val="nil"/>
          <w:insideV w:val="nil"/>
        </w:tcBorders>
        <w:shd w:val="clear" w:color="auto" w:fill="FDE5D1"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86">
    <w:name w:val="Medium Grid 1"/>
    <w:basedOn w:val="12"/>
    <w:uiPriority w:val="67"/>
    <w:pPr>
      <w:spacing w:after="0" w:line="240" w:lineRule="auto"/>
    </w:pPr>
    <w:tblPr>
      <w:tbl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single" w:color="3F3F3F" w:themeColor="text1" w:themeTint="BF" w:sz="8" w:space="0"/>
        <w:insideV w:val="single" w:color="3F3F3F" w:themeColor="text1" w:themeTint="BF" w:sz="8" w:space="0"/>
      </w:tblBorders>
      <w:tblCellMar>
        <w:top w:w="0" w:type="dxa"/>
        <w:left w:w="108" w:type="dxa"/>
        <w:bottom w:w="0" w:type="dxa"/>
        <w:right w:w="108" w:type="dxa"/>
      </w:tblCellMar>
    </w:tblPr>
    <w:tcPr>
      <w:shd w:val="clear" w:color="auto" w:fill="BFBFBF" w:themeFill="text1" w:themeFillTint="3F"/>
    </w:tcPr>
    <w:tblStylePr w:type="firstRow">
      <w:rPr>
        <w:b/>
        <w:bCs/>
      </w:rPr>
    </w:tblStylePr>
    <w:tblStylePr w:type="lastRow">
      <w:rPr>
        <w:b/>
        <w:bCs/>
      </w:rPr>
      <w:tblPr/>
      <w:tcPr>
        <w:tcBorders>
          <w:top w:val="single" w:color="3F3F3F" w:themeColor="text1" w:themeTint="BF" w:sz="18" w:space="0"/>
        </w:tcBorders>
      </w:tcPr>
    </w:tblStylePr>
    <w:tblStylePr w:type="firstCol">
      <w:rPr>
        <w:b/>
        <w:bCs/>
      </w:rPr>
    </w:tblStylePr>
    <w:tblStylePr w:type="lastCol">
      <w:rPr>
        <w:b/>
        <w:bCs/>
      </w:rPr>
    </w:tblStylePr>
    <w:tblStylePr w:type="band1Vert">
      <w:tblPr/>
      <w:tcPr>
        <w:shd w:val="clear" w:color="auto" w:fill="7F7F7F" w:themeFill="text1" w:themeFillTint="7F"/>
      </w:tcPr>
    </w:tblStylePr>
    <w:tblStylePr w:type="band1Horz">
      <w:tblPr/>
      <w:tcPr>
        <w:shd w:val="clear" w:color="auto" w:fill="7F7F7F" w:themeFill="text1" w:themeFillTint="7F"/>
      </w:tcPr>
    </w:tblStylePr>
  </w:style>
  <w:style w:type="table" w:styleId="87">
    <w:name w:val="Medium Grid 1 Accent 1"/>
    <w:basedOn w:val="12"/>
    <w:uiPriority w:val="67"/>
    <w:pPr>
      <w:spacing w:after="0" w:line="240" w:lineRule="auto"/>
    </w:pPr>
    <w:tblPr>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insideV w:val="single" w:color="7BA0CD" w:themeColor="accent1" w:themeTint="BF" w:sz="8" w:space="0"/>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color="7BA0CD" w:themeColor="accent1" w:themeTint="BF" w:sz="18" w:space="0"/>
        </w:tcBorders>
      </w:tcPr>
    </w:tblStylePr>
    <w:tblStylePr w:type="firstCol">
      <w:rPr>
        <w:b/>
        <w:bCs/>
      </w:rPr>
    </w:tblStylePr>
    <w:tblStylePr w:type="lastCol">
      <w:rPr>
        <w:b/>
        <w:bCs/>
      </w:rPr>
    </w:tblStylePr>
    <w:tblStylePr w:type="band1Vert">
      <w:tblPr/>
      <w:tcPr>
        <w:shd w:val="clear" w:color="auto" w:fill="A7C0DE" w:themeFill="accent1" w:themeFillTint="7F"/>
      </w:tcPr>
    </w:tblStylePr>
    <w:tblStylePr w:type="band1Horz">
      <w:tblPr/>
      <w:tcPr>
        <w:shd w:val="clear" w:color="auto" w:fill="A7C0DE" w:themeFill="accent1" w:themeFillTint="7F"/>
      </w:tcPr>
    </w:tblStylePr>
  </w:style>
  <w:style w:type="table" w:styleId="88">
    <w:name w:val="Medium Grid 1 Accent 2"/>
    <w:basedOn w:val="12"/>
    <w:qFormat/>
    <w:uiPriority w:val="67"/>
    <w:pPr>
      <w:spacing w:after="0" w:line="240" w:lineRule="auto"/>
    </w:pPr>
    <w:tblPr>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insideV w:val="single" w:color="CF7B79" w:themeColor="accent2" w:themeTint="BF" w:sz="8" w:space="0"/>
      </w:tblBorders>
      <w:tblCellMar>
        <w:top w:w="0" w:type="dxa"/>
        <w:left w:w="108" w:type="dxa"/>
        <w:bottom w:w="0" w:type="dxa"/>
        <w:right w:w="108" w:type="dxa"/>
      </w:tblCellMar>
    </w:tblPr>
    <w:tcPr>
      <w:shd w:val="clear" w:color="auto" w:fill="EFD3D3" w:themeFill="accent2" w:themeFillTint="3F"/>
    </w:tcPr>
    <w:tblStylePr w:type="firstRow">
      <w:rPr>
        <w:b/>
        <w:bCs/>
      </w:rPr>
    </w:tblStylePr>
    <w:tblStylePr w:type="lastRow">
      <w:rPr>
        <w:b/>
        <w:bCs/>
      </w:rPr>
      <w:tblPr/>
      <w:tcPr>
        <w:tcBorders>
          <w:top w:val="single" w:color="CF7B79" w:themeColor="accent2" w:themeTint="BF" w:sz="18" w:space="0"/>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89">
    <w:name w:val="Medium Grid 1 Accent 3"/>
    <w:basedOn w:val="12"/>
    <w:qFormat/>
    <w:uiPriority w:val="67"/>
    <w:pPr>
      <w:spacing w:after="0" w:line="240" w:lineRule="auto"/>
    </w:pPr>
    <w:tblPr>
      <w:tbl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single" w:color="B4CC82" w:themeColor="accent3" w:themeTint="BF" w:sz="8" w:space="0"/>
        <w:insideV w:val="single" w:color="B4CC82" w:themeColor="accent3" w:themeTint="BF" w:sz="8" w:space="0"/>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color="B4CC82" w:themeColor="accent3" w:themeTint="BF" w:sz="18" w:space="0"/>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90">
    <w:name w:val="Medium Grid 1 Accent 4"/>
    <w:basedOn w:val="12"/>
    <w:qFormat/>
    <w:uiPriority w:val="67"/>
    <w:pPr>
      <w:spacing w:after="0" w:line="240" w:lineRule="auto"/>
    </w:pPr>
    <w:tblPr>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insideV w:val="single" w:color="9F8AB9" w:themeColor="accent4" w:themeTint="BF" w:sz="8" w:space="0"/>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color="9F8AB9" w:themeColor="accent4" w:themeTint="BF" w:sz="18" w:space="0"/>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91">
    <w:name w:val="Medium Grid 1 Accent 5"/>
    <w:basedOn w:val="12"/>
    <w:qFormat/>
    <w:uiPriority w:val="67"/>
    <w:pPr>
      <w:spacing w:after="0" w:line="240" w:lineRule="auto"/>
    </w:pPr>
    <w:tblPr>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insideV w:val="single" w:color="78C0D4" w:themeColor="accent5" w:themeTint="BF" w:sz="8" w:space="0"/>
      </w:tblBorders>
      <w:tblCellMar>
        <w:top w:w="0" w:type="dxa"/>
        <w:left w:w="108" w:type="dxa"/>
        <w:bottom w:w="0" w:type="dxa"/>
        <w:right w:w="108" w:type="dxa"/>
      </w:tblCellMar>
    </w:tblPr>
    <w:tcPr>
      <w:shd w:val="clear" w:color="auto" w:fill="D2EAF0" w:themeFill="accent5" w:themeFillTint="3F"/>
    </w:tcPr>
    <w:tblStylePr w:type="firstRow">
      <w:rPr>
        <w:b/>
        <w:bCs/>
      </w:rPr>
    </w:tblStylePr>
    <w:tblStylePr w:type="lastRow">
      <w:rPr>
        <w:b/>
        <w:bCs/>
      </w:rPr>
      <w:tblPr/>
      <w:tcPr>
        <w:tcBorders>
          <w:top w:val="single" w:color="78C0D4" w:themeColor="accent5" w:themeTint="BF" w:sz="18" w:space="0"/>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92">
    <w:name w:val="Medium Grid 1 Accent 6"/>
    <w:basedOn w:val="12"/>
    <w:qFormat/>
    <w:uiPriority w:val="67"/>
    <w:pPr>
      <w:spacing w:after="0" w:line="240" w:lineRule="auto"/>
    </w:pPr>
    <w:tblPr>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insideV w:val="single" w:color="F9B074" w:themeColor="accent6" w:themeTint="BF" w:sz="8" w:space="0"/>
      </w:tblBorders>
      <w:tblCellMar>
        <w:top w:w="0" w:type="dxa"/>
        <w:left w:w="108" w:type="dxa"/>
        <w:bottom w:w="0" w:type="dxa"/>
        <w:right w:w="108" w:type="dxa"/>
      </w:tblCellMar>
    </w:tblPr>
    <w:tcPr>
      <w:shd w:val="clear" w:color="auto" w:fill="FDE5D1" w:themeFill="accent6" w:themeFillTint="3F"/>
    </w:tcPr>
    <w:tblStylePr w:type="firstRow">
      <w:rPr>
        <w:b/>
        <w:bCs/>
      </w:rPr>
    </w:tblStylePr>
    <w:tblStylePr w:type="lastRow">
      <w:rPr>
        <w:b/>
        <w:bCs/>
      </w:rPr>
      <w:tblPr/>
      <w:tcPr>
        <w:tcBorders>
          <w:top w:val="single" w:color="F9B074" w:themeColor="accent6" w:themeTint="BF" w:sz="18" w:space="0"/>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93">
    <w:name w:val="Medium Grid 2"/>
    <w:basedOn w:val="12"/>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0" w:type="dxa"/>
        <w:left w:w="108" w:type="dxa"/>
        <w:bottom w:w="0" w:type="dxa"/>
        <w:right w:w="108" w:type="dxa"/>
      </w:tblCellMar>
    </w:tblPr>
    <w:tcPr>
      <w:shd w:val="clear" w:color="auto" w:fill="BFBFBF" w:themeFill="text1" w:themeFillTint="3F"/>
    </w:tcPr>
    <w:tblStylePr w:type="firstRow">
      <w:rPr>
        <w:b/>
        <w:bCs/>
        <w:color w:val="000000" w:themeColor="text1"/>
        <w14:textFill>
          <w14:solidFill>
            <w14:schemeClr w14:val="tx1"/>
          </w14:solidFill>
        </w14:textFill>
      </w:rPr>
      <w:tblPr/>
      <w:tcPr>
        <w:shd w:val="clear" w:color="auto" w:fill="E5E5E5" w:themeFill="text1"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7F7F7F" w:themeFill="text1" w:themeFillTint="7F"/>
      </w:tcPr>
    </w:tblStylePr>
    <w:tblStylePr w:type="band1Horz">
      <w:tblPr/>
      <w:tcPr>
        <w:tcBorders>
          <w:insideH w:val="single" w:sz="6" w:space="0"/>
          <w:insideV w:val="single" w:sz="6" w:space="0"/>
        </w:tcBorders>
        <w:shd w:val="clear" w:color="auto" w:fill="7F7F7F" w:themeFill="text1" w:themeFillTint="7F"/>
      </w:tcPr>
    </w:tblStylePr>
    <w:tblStylePr w:type="nwCell">
      <w:tblPr/>
      <w:tcPr>
        <w:shd w:val="clear" w:color="auto" w:fill="FFFFFF" w:themeFill="background1"/>
      </w:tcPr>
    </w:tblStylePr>
  </w:style>
  <w:style w:type="table" w:styleId="94">
    <w:name w:val="Medium Grid 2 Accent 1"/>
    <w:basedOn w:val="12"/>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14:textFill>
          <w14:solidFill>
            <w14:schemeClr w14:val="tx1"/>
          </w14:solidFill>
        </w14:textFill>
      </w:rPr>
      <w:tblPr/>
      <w:tcPr>
        <w:shd w:val="clear" w:color="auto" w:fill="EDF2F8" w:themeFill="accent1"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C0DE" w:themeFill="accent1" w:themeFillTint="7F"/>
      </w:tcPr>
    </w:tblStylePr>
    <w:tblStylePr w:type="band1Horz">
      <w:tblPr/>
      <w:tcPr>
        <w:tcBorders>
          <w:insideH w:val="single" w:sz="6" w:space="0"/>
          <w:insideV w:val="single" w:sz="6" w:space="0"/>
        </w:tcBorders>
        <w:shd w:val="clear" w:color="auto" w:fill="A7C0DE" w:themeFill="accent1" w:themeFillTint="7F"/>
      </w:tcPr>
    </w:tblStylePr>
    <w:tblStylePr w:type="nwCell">
      <w:tblPr/>
      <w:tcPr>
        <w:shd w:val="clear" w:color="auto" w:fill="FFFFFF" w:themeFill="background1"/>
      </w:tcPr>
    </w:tblStylePr>
  </w:style>
  <w:style w:type="table" w:styleId="95">
    <w:name w:val="Medium Grid 2 Accent 2"/>
    <w:basedOn w:val="12"/>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CellMar>
        <w:top w:w="0" w:type="dxa"/>
        <w:left w:w="108" w:type="dxa"/>
        <w:bottom w:w="0" w:type="dxa"/>
        <w:right w:w="108" w:type="dxa"/>
      </w:tblCellMar>
    </w:tblPr>
    <w:tcPr>
      <w:shd w:val="clear" w:color="auto" w:fill="EFD3D3" w:themeFill="accent2" w:themeFillTint="3F"/>
    </w:tcPr>
    <w:tblStylePr w:type="firstRow">
      <w:rPr>
        <w:b/>
        <w:bCs/>
        <w:color w:val="000000" w:themeColor="text1"/>
        <w14:textFill>
          <w14:solidFill>
            <w14:schemeClr w14:val="tx1"/>
          </w14:solidFill>
        </w14:textFill>
      </w:rPr>
      <w:tblPr/>
      <w:tcPr>
        <w:shd w:val="clear" w:color="auto" w:fill="F8EDED" w:themeFill="accent2"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insideV w:val="single" w:sz="6" w:space="0"/>
        </w:tcBorders>
        <w:shd w:val="clear" w:color="auto" w:fill="DFA7A6" w:themeFill="accent2" w:themeFillTint="7F"/>
      </w:tcPr>
    </w:tblStylePr>
    <w:tblStylePr w:type="nwCell">
      <w:tblPr/>
      <w:tcPr>
        <w:shd w:val="clear" w:color="auto" w:fill="FFFFFF" w:themeFill="background1"/>
      </w:tcPr>
    </w:tblStylePr>
  </w:style>
  <w:style w:type="table" w:styleId="96">
    <w:name w:val="Medium Grid 2 Accent 3"/>
    <w:basedOn w:val="12"/>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14:textFill>
          <w14:solidFill>
            <w14:schemeClr w14:val="tx1"/>
          </w14:solidFill>
        </w14:textFill>
      </w:rPr>
      <w:tblPr/>
      <w:tcPr>
        <w:shd w:val="clear" w:color="auto" w:fill="F5F8EE" w:themeFill="accent3"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insideV w:val="single" w:sz="6" w:space="0"/>
        </w:tcBorders>
        <w:shd w:val="clear" w:color="auto" w:fill="CDDDAC" w:themeFill="accent3" w:themeFillTint="7F"/>
      </w:tcPr>
    </w:tblStylePr>
    <w:tblStylePr w:type="nwCell">
      <w:tblPr/>
      <w:tcPr>
        <w:shd w:val="clear" w:color="auto" w:fill="FFFFFF" w:themeFill="background1"/>
      </w:tcPr>
    </w:tblStylePr>
  </w:style>
  <w:style w:type="table" w:styleId="97">
    <w:name w:val="Medium Grid 2 Accent 4"/>
    <w:basedOn w:val="12"/>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14:textFill>
          <w14:solidFill>
            <w14:schemeClr w14:val="tx1"/>
          </w14:solidFill>
        </w14:textFill>
      </w:rPr>
      <w:tblPr/>
      <w:tcPr>
        <w:shd w:val="clear" w:color="auto" w:fill="F2EFF5" w:themeFill="accent4"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insideV w:val="single" w:sz="6" w:space="0"/>
        </w:tcBorders>
        <w:shd w:val="clear" w:color="auto" w:fill="BFB1D0" w:themeFill="accent4" w:themeFillTint="7F"/>
      </w:tcPr>
    </w:tblStylePr>
    <w:tblStylePr w:type="nwCell">
      <w:tblPr/>
      <w:tcPr>
        <w:shd w:val="clear" w:color="auto" w:fill="FFFFFF" w:themeFill="background1"/>
      </w:tcPr>
    </w:tblStylePr>
  </w:style>
  <w:style w:type="table" w:styleId="98">
    <w:name w:val="Medium Grid 2 Accent 5"/>
    <w:basedOn w:val="12"/>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CellMar>
        <w:top w:w="0" w:type="dxa"/>
        <w:left w:w="108" w:type="dxa"/>
        <w:bottom w:w="0" w:type="dxa"/>
        <w:right w:w="108" w:type="dxa"/>
      </w:tblCellMar>
    </w:tblPr>
    <w:tcPr>
      <w:shd w:val="clear" w:color="auto" w:fill="D2EAF0" w:themeFill="accent5" w:themeFillTint="3F"/>
    </w:tcPr>
    <w:tblStylePr w:type="firstRow">
      <w:rPr>
        <w:b/>
        <w:bCs/>
        <w:color w:val="000000" w:themeColor="text1"/>
        <w14:textFill>
          <w14:solidFill>
            <w14:schemeClr w14:val="tx1"/>
          </w14:solidFill>
        </w14:textFill>
      </w:rPr>
      <w:tblPr/>
      <w:tcPr>
        <w:shd w:val="clear" w:color="auto" w:fill="EDF6F9" w:themeFill="accent5"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insideV w:val="single" w:sz="6" w:space="0"/>
        </w:tcBorders>
        <w:shd w:val="clear" w:color="auto" w:fill="A5D5E2" w:themeFill="accent5" w:themeFillTint="7F"/>
      </w:tcPr>
    </w:tblStylePr>
    <w:tblStylePr w:type="nwCell">
      <w:tblPr/>
      <w:tcPr>
        <w:shd w:val="clear" w:color="auto" w:fill="FFFFFF" w:themeFill="background1"/>
      </w:tcPr>
    </w:tblStylePr>
  </w:style>
  <w:style w:type="table" w:styleId="99">
    <w:name w:val="Medium Grid 2 Accent 6"/>
    <w:basedOn w:val="12"/>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CellMar>
        <w:top w:w="0" w:type="dxa"/>
        <w:left w:w="108" w:type="dxa"/>
        <w:bottom w:w="0" w:type="dxa"/>
        <w:right w:w="108" w:type="dxa"/>
      </w:tblCellMar>
    </w:tblPr>
    <w:tcPr>
      <w:shd w:val="clear" w:color="auto" w:fill="FDE5D1" w:themeFill="accent6" w:themeFillTint="3F"/>
    </w:tcPr>
    <w:tblStylePr w:type="firstRow">
      <w:rPr>
        <w:b/>
        <w:bCs/>
        <w:color w:val="000000" w:themeColor="text1"/>
        <w14:textFill>
          <w14:solidFill>
            <w14:schemeClr w14:val="tx1"/>
          </w14:solidFill>
        </w14:textFill>
      </w:rPr>
      <w:tblPr/>
      <w:tcPr>
        <w:shd w:val="clear" w:color="auto" w:fill="FEF4EC" w:themeFill="accent6"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insideV w:val="single" w:sz="6" w:space="0"/>
        </w:tcBorders>
        <w:shd w:val="clear" w:color="auto" w:fill="FBCAA2" w:themeFill="accent6" w:themeFillTint="7F"/>
      </w:tcPr>
    </w:tblStylePr>
    <w:tblStylePr w:type="nwCell">
      <w:tblPr/>
      <w:tcPr>
        <w:shd w:val="clear" w:color="auto" w:fill="FFFFFF" w:themeFill="background1"/>
      </w:tcPr>
    </w:tblStylePr>
  </w:style>
  <w:style w:type="table" w:styleId="100">
    <w:name w:val="Medium Grid 3"/>
    <w:basedOn w:val="12"/>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BFBFBF" w:themeFill="text1"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000000" w:themeFill="text1"/>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000000" w:themeFill="text1"/>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000000" w:themeFill="text1"/>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000000" w:themeFill="tex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7F7F7F" w:themeFill="tex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7F7F7F" w:themeFill="text1" w:themeFillTint="7F"/>
      </w:tcPr>
    </w:tblStylePr>
  </w:style>
  <w:style w:type="table" w:styleId="101">
    <w:name w:val="Medium Grid 3 Accent 1"/>
    <w:basedOn w:val="12"/>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4F81BD" w:themeFill="accent1"/>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4F81BD" w:themeFill="accent1"/>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4F81BD" w:themeFill="accent1"/>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4F81BD" w:themeFill="accen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7C0DE" w:themeFill="accen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A7C0DE" w:themeFill="accent1" w:themeFillTint="7F"/>
      </w:tcPr>
    </w:tblStylePr>
  </w:style>
  <w:style w:type="table" w:styleId="102">
    <w:name w:val="Medium Grid 3 Accent 2"/>
    <w:basedOn w:val="12"/>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EFD3D3" w:themeFill="accent2"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C0504D" w:themeFill="accent2"/>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C0504D" w:themeFill="accent2"/>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C0504D" w:themeFill="accent2"/>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C0504D" w:themeFill="accent2"/>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DFA7A6" w:themeFill="accent2"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DFA7A6" w:themeFill="accent2" w:themeFillTint="7F"/>
      </w:tcPr>
    </w:tblStylePr>
  </w:style>
  <w:style w:type="table" w:styleId="103">
    <w:name w:val="Medium Grid 3 Accent 3"/>
    <w:basedOn w:val="12"/>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9BBB59" w:themeFill="accent3"/>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9BBB59" w:themeFill="accent3"/>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9BBB59" w:themeFill="accent3"/>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9BBB59" w:themeFill="accent3"/>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CDDDAC" w:themeFill="accent3"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CDDDAC" w:themeFill="accent3" w:themeFillTint="7F"/>
      </w:tcPr>
    </w:tblStylePr>
  </w:style>
  <w:style w:type="table" w:styleId="104">
    <w:name w:val="Medium Grid 3 Accent 4"/>
    <w:basedOn w:val="12"/>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8064A2" w:themeFill="accent4"/>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8064A2" w:themeFill="accent4"/>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8064A2" w:themeFill="accent4"/>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8064A2" w:themeFill="accent4"/>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BFB1D0" w:themeFill="accent4"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BFB1D0" w:themeFill="accent4" w:themeFillTint="7F"/>
      </w:tcPr>
    </w:tblStylePr>
  </w:style>
  <w:style w:type="table" w:styleId="105">
    <w:name w:val="Medium Grid 3 Accent 5"/>
    <w:basedOn w:val="12"/>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2EAF0" w:themeFill="accent5"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4BACC6" w:themeFill="accent5"/>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4BACC6" w:themeFill="accent5"/>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4BACC6" w:themeFill="accent5"/>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4BACC6" w:themeFill="accent5"/>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5D5E2" w:themeFill="accent5"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A5D5E2" w:themeFill="accent5" w:themeFillTint="7F"/>
      </w:tcPr>
    </w:tblStylePr>
  </w:style>
  <w:style w:type="table" w:styleId="106">
    <w:name w:val="Medium Grid 3 Accent 6"/>
    <w:basedOn w:val="12"/>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FDE5D1" w:themeFill="accent6"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F79646" w:themeFill="accent6"/>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F79646" w:themeFill="accent6"/>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F79646" w:themeFill="accent6"/>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F79646" w:themeFill="accent6"/>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FBCAA2" w:themeFill="accent6"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FBCAA2" w:themeFill="accent6" w:themeFillTint="7F"/>
      </w:tcPr>
    </w:tblStylePr>
  </w:style>
  <w:style w:type="table" w:styleId="107">
    <w:name w:val="Dark List"/>
    <w:basedOn w:val="12"/>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color="FFFFFF" w:themeColor="background1" w:sz="18" w:space="0"/>
          <w:insideH w:val="nil"/>
          <w:insideV w:val="nil"/>
        </w:tcBorders>
        <w:shd w:val="clear" w:color="auto" w:fill="000000" w:themeFill="text1" w:themeFillShade="BF"/>
      </w:tcPr>
    </w:tblStylePr>
    <w:tblStylePr w:type="lastCol">
      <w:tblPr/>
      <w:tcPr>
        <w:tcBorders>
          <w:top w:val="nil"/>
          <w:left w:val="single" w:color="FFFFFF" w:themeColor="background1" w:sz="18" w:space="0"/>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08">
    <w:name w:val="Dark List Accent 1"/>
    <w:basedOn w:val="12"/>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43F61" w:themeFill="accent1" w:themeFillShade="7F"/>
      </w:tcPr>
    </w:tblStylePr>
    <w:tblStylePr w:type="firstCol">
      <w:tblPr/>
      <w:tcPr>
        <w:tcBorders>
          <w:top w:val="nil"/>
          <w:left w:val="nil"/>
          <w:bottom w:val="nil"/>
          <w:right w:val="single" w:color="FFFFFF" w:themeColor="background1" w:sz="18" w:space="0"/>
          <w:insideH w:val="nil"/>
          <w:insideV w:val="nil"/>
        </w:tcBorders>
        <w:shd w:val="clear" w:color="auto" w:fill="366091" w:themeFill="accent1" w:themeFillShade="BF"/>
      </w:tcPr>
    </w:tblStylePr>
    <w:tblStylePr w:type="lastCol">
      <w:tblPr/>
      <w:tcPr>
        <w:tcBorders>
          <w:top w:val="nil"/>
          <w:left w:val="single" w:color="FFFFFF" w:themeColor="background1" w:sz="18" w:space="0"/>
          <w:bottom w:val="nil"/>
          <w:right w:val="nil"/>
          <w:insideH w:val="nil"/>
          <w:insideV w:val="nil"/>
        </w:tcBorders>
        <w:shd w:val="clear" w:color="auto" w:fill="366091" w:themeFill="accent1" w:themeFillShade="BF"/>
      </w:tcPr>
    </w:tblStylePr>
    <w:tblStylePr w:type="band1Vert">
      <w:tblPr/>
      <w:tcPr>
        <w:tcBorders>
          <w:top w:val="nil"/>
          <w:left w:val="nil"/>
          <w:bottom w:val="nil"/>
          <w:right w:val="nil"/>
          <w:insideH w:val="nil"/>
          <w:insideV w:val="nil"/>
        </w:tcBorders>
        <w:shd w:val="clear" w:color="auto" w:fill="366091" w:themeFill="accent1" w:themeFillShade="BF"/>
      </w:tcPr>
    </w:tblStylePr>
    <w:tblStylePr w:type="band1Horz">
      <w:tblPr/>
      <w:tcPr>
        <w:tcBorders>
          <w:top w:val="nil"/>
          <w:left w:val="nil"/>
          <w:bottom w:val="nil"/>
          <w:right w:val="nil"/>
          <w:insideH w:val="nil"/>
          <w:insideV w:val="nil"/>
        </w:tcBorders>
        <w:shd w:val="clear" w:color="auto" w:fill="366091" w:themeFill="accent1" w:themeFillShade="BF"/>
      </w:tcPr>
    </w:tblStylePr>
  </w:style>
  <w:style w:type="table" w:styleId="109">
    <w:name w:val="Dark List Accent 2"/>
    <w:basedOn w:val="12"/>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color="FFFFFF" w:themeColor="background1" w:sz="18" w:space="0"/>
          <w:insideH w:val="nil"/>
          <w:insideV w:val="nil"/>
        </w:tcBorders>
        <w:shd w:val="clear" w:color="auto" w:fill="943734" w:themeFill="accent2" w:themeFillShade="BF"/>
      </w:tcPr>
    </w:tblStylePr>
    <w:tblStylePr w:type="lastCol">
      <w:tblPr/>
      <w:tcPr>
        <w:tcBorders>
          <w:top w:val="nil"/>
          <w:left w:val="single" w:color="FFFFFF" w:themeColor="background1" w:sz="18" w:space="0"/>
          <w:bottom w:val="nil"/>
          <w:right w:val="nil"/>
          <w:insideH w:val="nil"/>
          <w:insideV w:val="nil"/>
        </w:tcBorders>
        <w:shd w:val="clear" w:color="auto" w:fill="943734" w:themeFill="accent2" w:themeFillShade="BF"/>
      </w:tcPr>
    </w:tblStylePr>
    <w:tblStylePr w:type="band1Vert">
      <w:tblPr/>
      <w:tcPr>
        <w:tcBorders>
          <w:top w:val="nil"/>
          <w:left w:val="nil"/>
          <w:bottom w:val="nil"/>
          <w:right w:val="nil"/>
          <w:insideH w:val="nil"/>
          <w:insideV w:val="nil"/>
        </w:tcBorders>
        <w:shd w:val="clear" w:color="auto" w:fill="943734" w:themeFill="accent2" w:themeFillShade="BF"/>
      </w:tcPr>
    </w:tblStylePr>
    <w:tblStylePr w:type="band1Horz">
      <w:tblPr/>
      <w:tcPr>
        <w:tcBorders>
          <w:top w:val="nil"/>
          <w:left w:val="nil"/>
          <w:bottom w:val="nil"/>
          <w:right w:val="nil"/>
          <w:insideH w:val="nil"/>
          <w:insideV w:val="nil"/>
        </w:tcBorders>
        <w:shd w:val="clear" w:color="auto" w:fill="943734" w:themeFill="accent2" w:themeFillShade="BF"/>
      </w:tcPr>
    </w:tblStylePr>
  </w:style>
  <w:style w:type="table" w:styleId="110">
    <w:name w:val="Dark List Accent 3"/>
    <w:basedOn w:val="12"/>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4E6127" w:themeFill="accent3" w:themeFillShade="7F"/>
      </w:tcPr>
    </w:tblStylePr>
    <w:tblStylePr w:type="firstCol">
      <w:tblPr/>
      <w:tcPr>
        <w:tcBorders>
          <w:top w:val="nil"/>
          <w:left w:val="nil"/>
          <w:bottom w:val="nil"/>
          <w:right w:val="single" w:color="FFFFFF" w:themeColor="background1" w:sz="18" w:space="0"/>
          <w:insideH w:val="nil"/>
          <w:insideV w:val="nil"/>
        </w:tcBorders>
        <w:shd w:val="clear" w:color="auto" w:fill="76923C" w:themeFill="accent3" w:themeFillShade="BF"/>
      </w:tcPr>
    </w:tblStylePr>
    <w:tblStylePr w:type="lastCol">
      <w:tblPr/>
      <w:tcPr>
        <w:tcBorders>
          <w:top w:val="nil"/>
          <w:left w:val="single" w:color="FFFFFF" w:themeColor="background1" w:sz="18" w:space="0"/>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111">
    <w:name w:val="Dark List Accent 4"/>
    <w:basedOn w:val="12"/>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3F3051" w:themeFill="accent4" w:themeFillShade="7F"/>
      </w:tcPr>
    </w:tblStylePr>
    <w:tblStylePr w:type="firstCol">
      <w:tblPr/>
      <w:tcPr>
        <w:tcBorders>
          <w:top w:val="nil"/>
          <w:left w:val="nil"/>
          <w:bottom w:val="nil"/>
          <w:right w:val="single" w:color="FFFFFF" w:themeColor="background1" w:sz="18" w:space="0"/>
          <w:insideH w:val="nil"/>
          <w:insideV w:val="nil"/>
        </w:tcBorders>
        <w:shd w:val="clear" w:color="auto" w:fill="5F497A" w:themeFill="accent4" w:themeFillShade="BF"/>
      </w:tcPr>
    </w:tblStylePr>
    <w:tblStylePr w:type="lastCol">
      <w:tblPr/>
      <w:tcPr>
        <w:tcBorders>
          <w:top w:val="nil"/>
          <w:left w:val="single" w:color="FFFFFF" w:themeColor="background1" w:sz="18" w:space="0"/>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112">
    <w:name w:val="Dark List Accent 5"/>
    <w:basedOn w:val="12"/>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color="FFFFFF" w:themeColor="background1" w:sz="18" w:space="0"/>
          <w:insideH w:val="nil"/>
          <w:insideV w:val="nil"/>
        </w:tcBorders>
        <w:shd w:val="clear" w:color="auto" w:fill="31849B" w:themeFill="accent5" w:themeFillShade="BF"/>
      </w:tcPr>
    </w:tblStylePr>
    <w:tblStylePr w:type="lastCol">
      <w:tblPr/>
      <w:tcPr>
        <w:tcBorders>
          <w:top w:val="nil"/>
          <w:left w:val="single" w:color="FFFFFF" w:themeColor="background1" w:sz="18" w:space="0"/>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113">
    <w:name w:val="Dark List Accent 6"/>
    <w:basedOn w:val="12"/>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color="FFFFFF" w:themeColor="background1" w:sz="18" w:space="0"/>
          <w:insideH w:val="nil"/>
          <w:insideV w:val="nil"/>
        </w:tcBorders>
        <w:shd w:val="clear" w:color="auto" w:fill="E36C09" w:themeFill="accent6" w:themeFillShade="BF"/>
      </w:tcPr>
    </w:tblStylePr>
    <w:tblStylePr w:type="lastCol">
      <w:tblPr/>
      <w:tcPr>
        <w:tcBorders>
          <w:top w:val="nil"/>
          <w:left w:val="single" w:color="FFFFFF" w:themeColor="background1" w:sz="18" w:space="0"/>
          <w:bottom w:val="nil"/>
          <w:right w:val="nil"/>
          <w:insideH w:val="nil"/>
          <w:insideV w:val="nil"/>
        </w:tcBorders>
        <w:shd w:val="clear" w:color="auto" w:fill="E36C09" w:themeFill="accent6" w:themeFillShade="BF"/>
      </w:tcPr>
    </w:tblStylePr>
    <w:tblStylePr w:type="band1Vert">
      <w:tblPr/>
      <w:tcPr>
        <w:tcBorders>
          <w:top w:val="nil"/>
          <w:left w:val="nil"/>
          <w:bottom w:val="nil"/>
          <w:right w:val="nil"/>
          <w:insideH w:val="nil"/>
          <w:insideV w:val="nil"/>
        </w:tcBorders>
        <w:shd w:val="clear" w:color="auto" w:fill="E36C09" w:themeFill="accent6" w:themeFillShade="BF"/>
      </w:tcPr>
    </w:tblStylePr>
    <w:tblStylePr w:type="band1Horz">
      <w:tblPr/>
      <w:tcPr>
        <w:tcBorders>
          <w:top w:val="nil"/>
          <w:left w:val="nil"/>
          <w:bottom w:val="nil"/>
          <w:right w:val="nil"/>
          <w:insideH w:val="nil"/>
          <w:insideV w:val="nil"/>
        </w:tcBorders>
        <w:shd w:val="clear" w:color="auto" w:fill="E36C09" w:themeFill="accent6" w:themeFillShade="BF"/>
      </w:tcPr>
    </w:tblStylePr>
  </w:style>
  <w:style w:type="table" w:styleId="114">
    <w:name w:val="Colorful Shading"/>
    <w:basedOn w:val="12"/>
    <w:qFormat/>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000000" w:themeColor="text1" w:sz="4" w:space="0"/>
        <w:bottom w:val="single" w:color="000000" w:themeColor="text1" w:sz="4" w:space="0"/>
        <w:right w:val="single" w:color="000000" w:themeColor="text1"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5E5E5" w:themeFill="tex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000000" w:themeFill="text1"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000000" w:themeFill="text1"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7F7F7F" w:themeFill="text1"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5">
    <w:name w:val="Colorful Shading Accent 1"/>
    <w:basedOn w:val="12"/>
    <w:qFormat/>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4F81BD" w:themeColor="accent1" w:sz="4" w:space="0"/>
        <w:bottom w:val="single" w:color="4F81BD" w:themeColor="accent1" w:sz="4" w:space="0"/>
        <w:right w:val="single" w:color="4F81BD" w:themeColor="accent1"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2B4D74" w:themeFill="accent1"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2B4D74" w:themeFill="accent1"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2B4D74" w:themeFill="accent1" w:themeFillShade="99"/>
      </w:tcPr>
    </w:tblStylePr>
    <w:tblStylePr w:type="band1Vert">
      <w:tblPr/>
      <w:tcPr>
        <w:shd w:val="clear" w:color="auto" w:fill="B8CCE4" w:themeFill="accent1" w:themeFillTint="66"/>
      </w:tcPr>
    </w:tblStylePr>
    <w:tblStylePr w:type="band1Horz">
      <w:tblPr/>
      <w:tcPr>
        <w:shd w:val="clear" w:color="auto" w:fill="A7C0DE" w:themeFill="accent1"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6">
    <w:name w:val="Colorful Shading Accent 2"/>
    <w:basedOn w:val="12"/>
    <w:qFormat/>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C0504D" w:themeColor="accent2" w:sz="4" w:space="0"/>
        <w:bottom w:val="single" w:color="C0504D" w:themeColor="accent2" w:sz="4" w:space="0"/>
        <w:right w:val="single" w:color="C0504D" w:themeColor="accent2"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772C2A" w:themeFill="accent2"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772C2A" w:themeFill="accent2"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7">
    <w:name w:val="Colorful Shading Accent 3"/>
    <w:basedOn w:val="12"/>
    <w:qFormat/>
    <w:uiPriority w:val="71"/>
    <w:pPr>
      <w:spacing w:after="0" w:line="240" w:lineRule="auto"/>
    </w:pPr>
    <w:rPr>
      <w:color w:val="000000" w:themeColor="text1"/>
      <w14:textFill>
        <w14:solidFill>
          <w14:schemeClr w14:val="tx1"/>
        </w14:solidFill>
      </w14:textFill>
    </w:rPr>
    <w:tblPr>
      <w:tblBorders>
        <w:top w:val="single" w:color="8064A2" w:themeColor="accent4" w:sz="24" w:space="0"/>
        <w:left w:val="single" w:color="9BBB59" w:themeColor="accent3" w:sz="4" w:space="0"/>
        <w:bottom w:val="single" w:color="9BBB59" w:themeColor="accent3" w:sz="4" w:space="0"/>
        <w:right w:val="single" w:color="9BBB59" w:themeColor="accent3"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5E7530" w:themeFill="accent3"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5E7530" w:themeFill="accent3"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118">
    <w:name w:val="Colorful Shading Accent 4"/>
    <w:basedOn w:val="12"/>
    <w:qFormat/>
    <w:uiPriority w:val="71"/>
    <w:pPr>
      <w:spacing w:after="0" w:line="240" w:lineRule="auto"/>
    </w:pPr>
    <w:rPr>
      <w:color w:val="000000" w:themeColor="text1"/>
      <w14:textFill>
        <w14:solidFill>
          <w14:schemeClr w14:val="tx1"/>
        </w14:solidFill>
      </w14:textFill>
    </w:rPr>
    <w:tblPr>
      <w:tblBorders>
        <w:top w:val="single" w:color="9BBB59" w:themeColor="accent3" w:sz="24" w:space="0"/>
        <w:left w:val="single" w:color="8064A2" w:themeColor="accent4" w:sz="4" w:space="0"/>
        <w:bottom w:val="single" w:color="8064A2" w:themeColor="accent4" w:sz="4" w:space="0"/>
        <w:right w:val="single" w:color="8064A2" w:themeColor="accent4"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2EFF5" w:themeFill="accent4" w:themeFillTint="19"/>
    </w:tcPr>
    <w:tblStylePr w:type="firstRow">
      <w:rPr>
        <w:b/>
        <w:bCs/>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4C3A62" w:themeFill="accent4"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4C3A62" w:themeFill="accent4"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4C3A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9">
    <w:name w:val="Colorful Shading Accent 5"/>
    <w:basedOn w:val="12"/>
    <w:qFormat/>
    <w:uiPriority w:val="71"/>
    <w:pPr>
      <w:spacing w:after="0" w:line="240" w:lineRule="auto"/>
    </w:pPr>
    <w:rPr>
      <w:color w:val="000000" w:themeColor="text1"/>
      <w14:textFill>
        <w14:solidFill>
          <w14:schemeClr w14:val="tx1"/>
        </w14:solidFill>
      </w14:textFill>
    </w:rPr>
    <w:tblPr>
      <w:tblBorders>
        <w:top w:val="single" w:color="F79646" w:themeColor="accent6" w:sz="24" w:space="0"/>
        <w:left w:val="single" w:color="4BACC6" w:themeColor="accent5" w:sz="4" w:space="0"/>
        <w:bottom w:val="single" w:color="4BACC6" w:themeColor="accent5" w:sz="4" w:space="0"/>
        <w:right w:val="single" w:color="4BACC6" w:themeColor="accent5"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276A7C" w:themeFill="accent5"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276A7C" w:themeFill="accent5"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20">
    <w:name w:val="Colorful Shading Accent 6"/>
    <w:basedOn w:val="12"/>
    <w:qFormat/>
    <w:uiPriority w:val="71"/>
    <w:pPr>
      <w:spacing w:after="0" w:line="240" w:lineRule="auto"/>
    </w:pPr>
    <w:rPr>
      <w:color w:val="000000" w:themeColor="text1"/>
      <w14:textFill>
        <w14:solidFill>
          <w14:schemeClr w14:val="tx1"/>
        </w14:solidFill>
      </w14:textFill>
    </w:rPr>
    <w:tblPr>
      <w:tblBorders>
        <w:top w:val="single" w:color="4BACC6" w:themeColor="accent5" w:sz="24" w:space="0"/>
        <w:left w:val="single" w:color="F79646" w:themeColor="accent6" w:sz="4" w:space="0"/>
        <w:bottom w:val="single" w:color="F79646" w:themeColor="accent6" w:sz="4" w:space="0"/>
        <w:right w:val="single" w:color="F79646" w:themeColor="accent6"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B65607" w:themeFill="accent6"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B65607" w:themeFill="accent6"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B65607"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21">
    <w:name w:val="Colorful List"/>
    <w:basedOn w:val="12"/>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E5E5E5" w:themeFill="text1"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FBFBF" w:themeFill="text1" w:themeFillTint="3F"/>
      </w:tcPr>
    </w:tblStylePr>
    <w:tblStylePr w:type="band1Horz">
      <w:tblPr/>
      <w:tcPr>
        <w:shd w:val="clear" w:color="auto" w:fill="CCCCCC" w:themeFill="text1" w:themeFillTint="33"/>
      </w:tcPr>
    </w:tblStylePr>
  </w:style>
  <w:style w:type="table" w:styleId="122">
    <w:name w:val="Colorful List Accent 1"/>
    <w:basedOn w:val="12"/>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123">
    <w:name w:val="Colorful List Accent 2"/>
    <w:basedOn w:val="12"/>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3" w:themeFill="accent2" w:themeFillTint="3F"/>
      </w:tcPr>
    </w:tblStylePr>
    <w:tblStylePr w:type="band1Horz">
      <w:tblPr/>
      <w:tcPr>
        <w:shd w:val="clear" w:color="auto" w:fill="F2DBDB" w:themeFill="accent2" w:themeFillTint="33"/>
      </w:tcPr>
    </w:tblStylePr>
  </w:style>
  <w:style w:type="table" w:styleId="124">
    <w:name w:val="Colorful List Accent 3"/>
    <w:basedOn w:val="12"/>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664E82" w:themeFill="accent4" w:themeFillShade="CC"/>
      </w:tcPr>
    </w:tblStylePr>
    <w:tblStylePr w:type="lastRow">
      <w:rPr>
        <w:b/>
        <w:bCs/>
        <w:color w:val="664F83" w:themeColor="accent4"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125">
    <w:name w:val="Colorful List Accent 4"/>
    <w:basedOn w:val="12"/>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2EFF5" w:themeFill="accent4"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7E9C40" w:themeFill="accent3" w:themeFillShade="CC"/>
      </w:tcPr>
    </w:tblStylePr>
    <w:tblStylePr w:type="lastRow">
      <w:rPr>
        <w:b/>
        <w:bCs/>
        <w:color w:val="7E9D40" w:themeColor="accent3"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126">
    <w:name w:val="Colorful List Accent 5"/>
    <w:basedOn w:val="12"/>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F3730A" w:themeFill="accent6" w:themeFillShade="CC"/>
      </w:tcPr>
    </w:tblStylePr>
    <w:tblStylePr w:type="lastRow">
      <w:rPr>
        <w:b/>
        <w:bCs/>
        <w:color w:val="F3740B" w:themeColor="accent6"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0" w:themeFill="accent5" w:themeFillTint="3F"/>
      </w:tcPr>
    </w:tblStylePr>
    <w:tblStylePr w:type="band1Horz">
      <w:tblPr/>
      <w:tcPr>
        <w:shd w:val="clear" w:color="auto" w:fill="DAEEF3" w:themeFill="accent5" w:themeFillTint="33"/>
      </w:tcPr>
    </w:tblStylePr>
  </w:style>
  <w:style w:type="table" w:styleId="127">
    <w:name w:val="Colorful List Accent 6"/>
    <w:basedOn w:val="12"/>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348DA5" w:themeFill="accent5" w:themeFillShade="CC"/>
      </w:tcPr>
    </w:tblStylePr>
    <w:tblStylePr w:type="lastRow">
      <w:rPr>
        <w:b/>
        <w:bCs/>
        <w:color w:val="358EA6" w:themeColor="accent5"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5D1" w:themeFill="accent6" w:themeFillTint="3F"/>
      </w:tcPr>
    </w:tblStylePr>
    <w:tblStylePr w:type="band1Horz">
      <w:tblPr/>
      <w:tcPr>
        <w:shd w:val="clear" w:color="auto" w:fill="FDE9D9" w:themeFill="accent6" w:themeFillTint="33"/>
      </w:tcPr>
    </w:tblStylePr>
  </w:style>
  <w:style w:type="table" w:styleId="128">
    <w:name w:val="Colorful Grid"/>
    <w:basedOn w:val="12"/>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14:textFill>
          <w14:solidFill>
            <w14:schemeClr w14:val="tx1"/>
          </w14:solidFill>
        </w14:textFill>
      </w:rPr>
      <w:tblPr/>
      <w:tcPr>
        <w:shd w:val="clear" w:color="auto" w:fill="999999" w:themeFill="text1" w:themeFillTint="66"/>
      </w:tcPr>
    </w:tblStylePr>
    <w:tblStylePr w:type="firstCol">
      <w:rPr>
        <w:color w:val="FFFFFF" w:themeColor="background1"/>
        <w14:textFill>
          <w14:solidFill>
            <w14:schemeClr w14:val="bg1"/>
          </w14:solidFill>
        </w14:textFill>
      </w:rPr>
      <w:tblPr/>
      <w:tcPr>
        <w:shd w:val="clear" w:color="auto" w:fill="000000" w:themeFill="text1" w:themeFillShade="BF"/>
      </w:tcPr>
    </w:tblStylePr>
    <w:tblStylePr w:type="lastCol">
      <w:rPr>
        <w:color w:val="FFFFFF" w:themeColor="background1"/>
        <w14:textFill>
          <w14:solidFill>
            <w14:schemeClr w14:val="bg1"/>
          </w14:solidFill>
        </w14:textFill>
      </w:rPr>
      <w:tblPr/>
      <w:tcPr>
        <w:shd w:val="clear" w:color="auto" w:fill="000000" w:themeFill="text1" w:themeFillShade="BF"/>
      </w:tcPr>
    </w:tblStylePr>
    <w:tblStylePr w:type="band1Vert">
      <w:tblPr/>
      <w:tcPr>
        <w:shd w:val="clear" w:color="auto" w:fill="7F7F7F" w:themeFill="text1" w:themeFillTint="7F"/>
      </w:tcPr>
    </w:tblStylePr>
    <w:tblStylePr w:type="band1Horz">
      <w:tblPr/>
      <w:tcPr>
        <w:shd w:val="clear" w:color="auto" w:fill="7F7F7F" w:themeFill="text1" w:themeFillTint="7F"/>
      </w:tcPr>
    </w:tblStylePr>
  </w:style>
  <w:style w:type="table" w:styleId="129">
    <w:name w:val="Colorful Grid Accent 1"/>
    <w:basedOn w:val="12"/>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14:textFill>
          <w14:solidFill>
            <w14:schemeClr w14:val="tx1"/>
          </w14:solidFill>
        </w14:textFill>
      </w:rPr>
      <w:tblPr/>
      <w:tcPr>
        <w:shd w:val="clear" w:color="auto" w:fill="B8CCE4" w:themeFill="accent1" w:themeFillTint="66"/>
      </w:tcPr>
    </w:tblStylePr>
    <w:tblStylePr w:type="firstCol">
      <w:rPr>
        <w:color w:val="FFFFFF" w:themeColor="background1"/>
        <w14:textFill>
          <w14:solidFill>
            <w14:schemeClr w14:val="bg1"/>
          </w14:solidFill>
        </w14:textFill>
      </w:rPr>
      <w:tblPr/>
      <w:tcPr>
        <w:shd w:val="clear" w:color="auto" w:fill="366091" w:themeFill="accent1" w:themeFillShade="BF"/>
      </w:tcPr>
    </w:tblStylePr>
    <w:tblStylePr w:type="lastCol">
      <w:rPr>
        <w:color w:val="FFFFFF" w:themeColor="background1"/>
        <w14:textFill>
          <w14:solidFill>
            <w14:schemeClr w14:val="bg1"/>
          </w14:solidFill>
        </w14:textFill>
      </w:rPr>
      <w:tblPr/>
      <w:tcPr>
        <w:shd w:val="clear" w:color="auto" w:fill="366091" w:themeFill="accent1" w:themeFillShade="BF"/>
      </w:tcPr>
    </w:tblStylePr>
    <w:tblStylePr w:type="band1Vert">
      <w:tblPr/>
      <w:tcPr>
        <w:shd w:val="clear" w:color="auto" w:fill="A7C0DE" w:themeFill="accent1" w:themeFillTint="7F"/>
      </w:tcPr>
    </w:tblStylePr>
    <w:tblStylePr w:type="band1Horz">
      <w:tblPr/>
      <w:tcPr>
        <w:shd w:val="clear" w:color="auto" w:fill="A7C0DE" w:themeFill="accent1" w:themeFillTint="7F"/>
      </w:tcPr>
    </w:tblStylePr>
  </w:style>
  <w:style w:type="table" w:styleId="130">
    <w:name w:val="Colorful Grid Accent 2"/>
    <w:basedOn w:val="12"/>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14:textFill>
          <w14:solidFill>
            <w14:schemeClr w14:val="tx1"/>
          </w14:solidFill>
        </w14:textFill>
      </w:rPr>
      <w:tblPr/>
      <w:tcPr>
        <w:shd w:val="clear" w:color="auto" w:fill="E5B8B7" w:themeFill="accent2" w:themeFillTint="66"/>
      </w:tcPr>
    </w:tblStylePr>
    <w:tblStylePr w:type="firstCol">
      <w:rPr>
        <w:color w:val="FFFFFF" w:themeColor="background1"/>
        <w14:textFill>
          <w14:solidFill>
            <w14:schemeClr w14:val="bg1"/>
          </w14:solidFill>
        </w14:textFill>
      </w:rPr>
      <w:tblPr/>
      <w:tcPr>
        <w:shd w:val="clear" w:color="auto" w:fill="943734" w:themeFill="accent2" w:themeFillShade="BF"/>
      </w:tcPr>
    </w:tblStylePr>
    <w:tblStylePr w:type="lastCol">
      <w:rPr>
        <w:color w:val="FFFFFF" w:themeColor="background1"/>
        <w14:textFill>
          <w14:solidFill>
            <w14:schemeClr w14:val="bg1"/>
          </w14:solidFill>
        </w14:textFill>
      </w:rPr>
      <w:tblPr/>
      <w:tcPr>
        <w:shd w:val="clear" w:color="auto" w:fill="9437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31">
    <w:name w:val="Colorful Grid Accent 3"/>
    <w:basedOn w:val="12"/>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14:textFill>
          <w14:solidFill>
            <w14:schemeClr w14:val="tx1"/>
          </w14:solidFill>
        </w14:textFill>
      </w:rPr>
      <w:tblPr/>
      <w:tcPr>
        <w:shd w:val="clear" w:color="auto" w:fill="D6E3BC" w:themeFill="accent3" w:themeFillTint="66"/>
      </w:tcPr>
    </w:tblStylePr>
    <w:tblStylePr w:type="firstCol">
      <w:rPr>
        <w:color w:val="FFFFFF" w:themeColor="background1"/>
        <w14:textFill>
          <w14:solidFill>
            <w14:schemeClr w14:val="bg1"/>
          </w14:solidFill>
        </w14:textFill>
      </w:rPr>
      <w:tblPr/>
      <w:tcPr>
        <w:shd w:val="clear" w:color="auto" w:fill="76923C" w:themeFill="accent3" w:themeFillShade="BF"/>
      </w:tcPr>
    </w:tblStylePr>
    <w:tblStylePr w:type="lastCol">
      <w:rPr>
        <w:color w:val="FFFFFF" w:themeColor="background1"/>
        <w14:textFill>
          <w14:solidFill>
            <w14:schemeClr w14:val="bg1"/>
          </w14:solidFill>
        </w14:textFill>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32">
    <w:name w:val="Colorful Grid Accent 4"/>
    <w:basedOn w:val="12"/>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14:textFill>
          <w14:solidFill>
            <w14:schemeClr w14:val="tx1"/>
          </w14:solidFill>
        </w14:textFill>
      </w:rPr>
      <w:tblPr/>
      <w:tcPr>
        <w:shd w:val="clear" w:color="auto" w:fill="CCC0D9" w:themeFill="accent4" w:themeFillTint="66"/>
      </w:tcPr>
    </w:tblStylePr>
    <w:tblStylePr w:type="firstCol">
      <w:rPr>
        <w:color w:val="FFFFFF" w:themeColor="background1"/>
        <w14:textFill>
          <w14:solidFill>
            <w14:schemeClr w14:val="bg1"/>
          </w14:solidFill>
        </w14:textFill>
      </w:rPr>
      <w:tblPr/>
      <w:tcPr>
        <w:shd w:val="clear" w:color="auto" w:fill="5F497A" w:themeFill="accent4" w:themeFillShade="BF"/>
      </w:tcPr>
    </w:tblStylePr>
    <w:tblStylePr w:type="lastCol">
      <w:rPr>
        <w:color w:val="FFFFFF" w:themeColor="background1"/>
        <w14:textFill>
          <w14:solidFill>
            <w14:schemeClr w14:val="bg1"/>
          </w14:solidFill>
        </w14:textFill>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33">
    <w:name w:val="Colorful Grid Accent 5"/>
    <w:basedOn w:val="12"/>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14:textFill>
          <w14:solidFill>
            <w14:schemeClr w14:val="tx1"/>
          </w14:solidFill>
        </w14:textFill>
      </w:rPr>
      <w:tblPr/>
      <w:tcPr>
        <w:shd w:val="clear" w:color="auto" w:fill="B6DDE8" w:themeFill="accent5" w:themeFillTint="66"/>
      </w:tcPr>
    </w:tblStylePr>
    <w:tblStylePr w:type="firstCol">
      <w:rPr>
        <w:color w:val="FFFFFF" w:themeColor="background1"/>
        <w14:textFill>
          <w14:solidFill>
            <w14:schemeClr w14:val="bg1"/>
          </w14:solidFill>
        </w14:textFill>
      </w:rPr>
      <w:tblPr/>
      <w:tcPr>
        <w:shd w:val="clear" w:color="auto" w:fill="31849B" w:themeFill="accent5" w:themeFillShade="BF"/>
      </w:tcPr>
    </w:tblStylePr>
    <w:tblStylePr w:type="lastCol">
      <w:rPr>
        <w:color w:val="FFFFFF" w:themeColor="background1"/>
        <w14:textFill>
          <w14:solidFill>
            <w14:schemeClr w14:val="bg1"/>
          </w14:solidFill>
        </w14:textFill>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34">
    <w:name w:val="Colorful Grid Accent 6"/>
    <w:basedOn w:val="12"/>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14:textFill>
          <w14:solidFill>
            <w14:schemeClr w14:val="tx1"/>
          </w14:solidFill>
        </w14:textFill>
      </w:rPr>
      <w:tblPr/>
      <w:tcPr>
        <w:shd w:val="clear" w:color="auto" w:fill="FBD4B4" w:themeFill="accent6" w:themeFillTint="66"/>
      </w:tcPr>
    </w:tblStylePr>
    <w:tblStylePr w:type="firstCol">
      <w:rPr>
        <w:color w:val="FFFFFF" w:themeColor="background1"/>
        <w14:textFill>
          <w14:solidFill>
            <w14:schemeClr w14:val="bg1"/>
          </w14:solidFill>
        </w14:textFill>
      </w:rPr>
      <w:tblPr/>
      <w:tcPr>
        <w:shd w:val="clear" w:color="auto" w:fill="E36C09" w:themeFill="accent6" w:themeFillShade="BF"/>
      </w:tcPr>
    </w:tblStylePr>
    <w:tblStylePr w:type="lastCol">
      <w:rPr>
        <w:color w:val="FFFFFF" w:themeColor="background1"/>
        <w14:textFill>
          <w14:solidFill>
            <w14:schemeClr w14:val="bg1"/>
          </w14:solidFill>
        </w14:textFill>
      </w:rPr>
      <w:tblPr/>
      <w:tcPr>
        <w:shd w:val="clear" w:color="auto" w:fill="E36C09"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customStyle="1" w:styleId="135">
    <w:name w:val="Header Char"/>
    <w:basedOn w:val="11"/>
    <w:link w:val="19"/>
    <w:qFormat/>
    <w:uiPriority w:val="99"/>
  </w:style>
  <w:style w:type="character" w:customStyle="1" w:styleId="136">
    <w:name w:val="Footer Char"/>
    <w:basedOn w:val="11"/>
    <w:link w:val="18"/>
    <w:qFormat/>
    <w:uiPriority w:val="99"/>
  </w:style>
  <w:style w:type="paragraph" w:styleId="137">
    <w:name w:val="No Spacing"/>
    <w:qFormat/>
    <w:uiPriority w:val="1"/>
    <w:pPr>
      <w:spacing w:after="0" w:line="240" w:lineRule="auto"/>
    </w:pPr>
    <w:rPr>
      <w:rFonts w:asciiTheme="minorHAnsi" w:hAnsiTheme="minorHAnsi" w:eastAsiaTheme="minorEastAsia" w:cstheme="minorBidi"/>
      <w:sz w:val="22"/>
      <w:szCs w:val="22"/>
      <w:lang w:val="en-US" w:eastAsia="en-US" w:bidi="ar-SA"/>
    </w:rPr>
  </w:style>
  <w:style w:type="character" w:customStyle="1" w:styleId="138">
    <w:name w:val="Heading 1 Char"/>
    <w:basedOn w:val="11"/>
    <w:link w:val="2"/>
    <w:qFormat/>
    <w:uiPriority w:val="9"/>
    <w:rPr>
      <w:rFonts w:asciiTheme="majorHAnsi" w:hAnsiTheme="majorHAnsi" w:eastAsiaTheme="majorEastAsia" w:cstheme="majorBidi"/>
      <w:b/>
      <w:bCs/>
      <w:color w:val="376092" w:themeColor="accent1" w:themeShade="BF"/>
      <w:sz w:val="28"/>
      <w:szCs w:val="28"/>
    </w:rPr>
  </w:style>
  <w:style w:type="character" w:customStyle="1" w:styleId="139">
    <w:name w:val="Heading 2 Char"/>
    <w:basedOn w:val="11"/>
    <w:link w:val="3"/>
    <w:qFormat/>
    <w:uiPriority w:val="9"/>
    <w:rPr>
      <w:rFonts w:asciiTheme="majorHAnsi" w:hAnsiTheme="majorHAnsi" w:eastAsiaTheme="majorEastAsia" w:cstheme="majorBidi"/>
      <w:b/>
      <w:bCs/>
      <w:color w:val="4F81BD" w:themeColor="accent1"/>
      <w:sz w:val="26"/>
      <w:szCs w:val="26"/>
      <w14:textFill>
        <w14:solidFill>
          <w14:schemeClr w14:val="accent1"/>
        </w14:solidFill>
      </w14:textFill>
    </w:rPr>
  </w:style>
  <w:style w:type="character" w:customStyle="1" w:styleId="140">
    <w:name w:val="Heading 3 Char"/>
    <w:basedOn w:val="11"/>
    <w:link w:val="4"/>
    <w:qFormat/>
    <w:uiPriority w:val="9"/>
    <w:rPr>
      <w:rFonts w:asciiTheme="majorHAnsi" w:hAnsiTheme="majorHAnsi" w:eastAsiaTheme="majorEastAsia" w:cstheme="majorBidi"/>
      <w:b/>
      <w:bCs/>
      <w:color w:val="4F81BD" w:themeColor="accent1"/>
      <w14:textFill>
        <w14:solidFill>
          <w14:schemeClr w14:val="accent1"/>
        </w14:solidFill>
      </w14:textFill>
    </w:rPr>
  </w:style>
  <w:style w:type="character" w:customStyle="1" w:styleId="141">
    <w:name w:val="Title Char"/>
    <w:basedOn w:val="11"/>
    <w:link w:val="36"/>
    <w:qFormat/>
    <w:uiPriority w:val="10"/>
    <w:rPr>
      <w:rFonts w:asciiTheme="majorHAnsi" w:hAnsiTheme="majorHAnsi" w:eastAsiaTheme="majorEastAsia" w:cstheme="majorBidi"/>
      <w:color w:val="17375E" w:themeColor="text2" w:themeShade="BF"/>
      <w:spacing w:val="5"/>
      <w:kern w:val="28"/>
      <w:sz w:val="52"/>
      <w:szCs w:val="52"/>
    </w:rPr>
  </w:style>
  <w:style w:type="character" w:customStyle="1" w:styleId="142">
    <w:name w:val="Subtitle Char"/>
    <w:basedOn w:val="11"/>
    <w:link w:val="34"/>
    <w:uiPriority w:val="11"/>
    <w:rPr>
      <w:rFonts w:asciiTheme="majorHAnsi" w:hAnsiTheme="majorHAnsi" w:eastAsiaTheme="majorEastAsia" w:cstheme="majorBidi"/>
      <w:i/>
      <w:iCs/>
      <w:color w:val="4F81BD" w:themeColor="accent1"/>
      <w:spacing w:val="15"/>
      <w:sz w:val="24"/>
      <w:szCs w:val="24"/>
      <w14:textFill>
        <w14:solidFill>
          <w14:schemeClr w14:val="accent1"/>
        </w14:solidFill>
      </w14:textFill>
    </w:rPr>
  </w:style>
  <w:style w:type="paragraph" w:styleId="143">
    <w:name w:val="List Paragraph"/>
    <w:basedOn w:val="1"/>
    <w:qFormat/>
    <w:uiPriority w:val="34"/>
    <w:pPr>
      <w:ind w:left="720"/>
      <w:contextualSpacing/>
    </w:pPr>
  </w:style>
  <w:style w:type="character" w:customStyle="1" w:styleId="144">
    <w:name w:val="Body Text Char"/>
    <w:basedOn w:val="11"/>
    <w:link w:val="13"/>
    <w:qFormat/>
    <w:uiPriority w:val="99"/>
  </w:style>
  <w:style w:type="character" w:customStyle="1" w:styleId="145">
    <w:name w:val="Body Text 2 Char"/>
    <w:basedOn w:val="11"/>
    <w:link w:val="14"/>
    <w:qFormat/>
    <w:uiPriority w:val="99"/>
  </w:style>
  <w:style w:type="character" w:customStyle="1" w:styleId="146">
    <w:name w:val="Body Text 3 Char"/>
    <w:basedOn w:val="11"/>
    <w:link w:val="15"/>
    <w:qFormat/>
    <w:uiPriority w:val="99"/>
    <w:rPr>
      <w:sz w:val="16"/>
      <w:szCs w:val="16"/>
    </w:rPr>
  </w:style>
  <w:style w:type="character" w:customStyle="1" w:styleId="147">
    <w:name w:val="Macro Text Char"/>
    <w:basedOn w:val="11"/>
    <w:link w:val="32"/>
    <w:uiPriority w:val="99"/>
    <w:rPr>
      <w:rFonts w:ascii="Courier" w:hAnsi="Courier"/>
      <w:sz w:val="20"/>
      <w:szCs w:val="20"/>
    </w:rPr>
  </w:style>
  <w:style w:type="paragraph" w:styleId="148">
    <w:name w:val="Quote"/>
    <w:basedOn w:val="1"/>
    <w:next w:val="1"/>
    <w:link w:val="149"/>
    <w:qFormat/>
    <w:uiPriority w:val="29"/>
    <w:rPr>
      <w:i/>
      <w:iCs/>
      <w:color w:val="000000" w:themeColor="text1"/>
      <w14:textFill>
        <w14:solidFill>
          <w14:schemeClr w14:val="tx1"/>
        </w14:solidFill>
      </w14:textFill>
    </w:rPr>
  </w:style>
  <w:style w:type="character" w:customStyle="1" w:styleId="149">
    <w:name w:val="Quote Char"/>
    <w:basedOn w:val="11"/>
    <w:link w:val="148"/>
    <w:uiPriority w:val="29"/>
    <w:rPr>
      <w:i/>
      <w:iCs/>
      <w:color w:val="000000" w:themeColor="text1"/>
      <w14:textFill>
        <w14:solidFill>
          <w14:schemeClr w14:val="tx1"/>
        </w14:solidFill>
      </w14:textFill>
    </w:rPr>
  </w:style>
  <w:style w:type="character" w:customStyle="1" w:styleId="150">
    <w:name w:val="Heading 4 Char"/>
    <w:basedOn w:val="11"/>
    <w:link w:val="5"/>
    <w:semiHidden/>
    <w:uiPriority w:val="9"/>
    <w:rPr>
      <w:rFonts w:asciiTheme="majorHAnsi" w:hAnsiTheme="majorHAnsi" w:eastAsiaTheme="majorEastAsia" w:cstheme="majorBidi"/>
      <w:b/>
      <w:bCs/>
      <w:i/>
      <w:iCs/>
      <w:color w:val="4F81BD" w:themeColor="accent1"/>
      <w14:textFill>
        <w14:solidFill>
          <w14:schemeClr w14:val="accent1"/>
        </w14:solidFill>
      </w14:textFill>
    </w:rPr>
  </w:style>
  <w:style w:type="character" w:customStyle="1" w:styleId="151">
    <w:name w:val="Heading 5 Char"/>
    <w:basedOn w:val="11"/>
    <w:link w:val="6"/>
    <w:semiHidden/>
    <w:uiPriority w:val="9"/>
    <w:rPr>
      <w:rFonts w:asciiTheme="majorHAnsi" w:hAnsiTheme="majorHAnsi" w:eastAsiaTheme="majorEastAsia" w:cstheme="majorBidi"/>
      <w:color w:val="254061" w:themeColor="accent1" w:themeShade="80"/>
    </w:rPr>
  </w:style>
  <w:style w:type="character" w:customStyle="1" w:styleId="152">
    <w:name w:val="Heading 6 Char"/>
    <w:basedOn w:val="11"/>
    <w:link w:val="7"/>
    <w:semiHidden/>
    <w:uiPriority w:val="9"/>
    <w:rPr>
      <w:rFonts w:asciiTheme="majorHAnsi" w:hAnsiTheme="majorHAnsi" w:eastAsiaTheme="majorEastAsia" w:cstheme="majorBidi"/>
      <w:i/>
      <w:iCs/>
      <w:color w:val="254061" w:themeColor="accent1" w:themeShade="80"/>
    </w:rPr>
  </w:style>
  <w:style w:type="character" w:customStyle="1" w:styleId="153">
    <w:name w:val="Heading 7 Char"/>
    <w:basedOn w:val="11"/>
    <w:link w:val="8"/>
    <w:semiHidden/>
    <w:uiPriority w:val="9"/>
    <w:rPr>
      <w:rFonts w:asciiTheme="majorHAnsi" w:hAnsiTheme="majorHAnsi" w:eastAsiaTheme="majorEastAsia" w:cstheme="majorBidi"/>
      <w:i/>
      <w:iCs/>
      <w:color w:val="404040" w:themeColor="text1" w:themeTint="BF"/>
      <w14:textFill>
        <w14:solidFill>
          <w14:schemeClr w14:val="tx1">
            <w14:lumMod w14:val="75000"/>
            <w14:lumOff w14:val="25000"/>
          </w14:schemeClr>
        </w14:solidFill>
      </w14:textFill>
    </w:rPr>
  </w:style>
  <w:style w:type="character" w:customStyle="1" w:styleId="154">
    <w:name w:val="Heading 8 Char"/>
    <w:basedOn w:val="11"/>
    <w:link w:val="9"/>
    <w:semiHidden/>
    <w:uiPriority w:val="9"/>
    <w:rPr>
      <w:rFonts w:asciiTheme="majorHAnsi" w:hAnsiTheme="majorHAnsi" w:eastAsiaTheme="majorEastAsia" w:cstheme="majorBidi"/>
      <w:color w:val="4F81BD" w:themeColor="accent1"/>
      <w:sz w:val="20"/>
      <w:szCs w:val="20"/>
      <w14:textFill>
        <w14:solidFill>
          <w14:schemeClr w14:val="accent1"/>
        </w14:solidFill>
      </w14:textFill>
    </w:rPr>
  </w:style>
  <w:style w:type="character" w:customStyle="1" w:styleId="155">
    <w:name w:val="Heading 9 Char"/>
    <w:basedOn w:val="11"/>
    <w:link w:val="10"/>
    <w:semiHidden/>
    <w:uiPriority w:val="9"/>
    <w:rPr>
      <w:rFonts w:asciiTheme="majorHAnsi" w:hAnsiTheme="majorHAnsi" w:eastAsiaTheme="majorEastAsia" w:cstheme="majorBidi"/>
      <w:i/>
      <w:iCs/>
      <w:color w:val="404040" w:themeColor="text1" w:themeTint="BF"/>
      <w:sz w:val="20"/>
      <w:szCs w:val="20"/>
      <w14:textFill>
        <w14:solidFill>
          <w14:schemeClr w14:val="tx1">
            <w14:lumMod w14:val="75000"/>
            <w14:lumOff w14:val="25000"/>
          </w14:schemeClr>
        </w14:solidFill>
      </w14:textFill>
    </w:rPr>
  </w:style>
  <w:style w:type="paragraph" w:styleId="156">
    <w:name w:val="Intense Quote"/>
    <w:basedOn w:val="1"/>
    <w:next w:val="1"/>
    <w:link w:val="157"/>
    <w:qFormat/>
    <w:uiPriority w:val="30"/>
    <w:pPr>
      <w:pBdr>
        <w:bottom w:val="single" w:color="4F81BD" w:themeColor="accent1" w:sz="4" w:space="4"/>
      </w:pBdr>
      <w:spacing w:before="200" w:after="280"/>
      <w:ind w:left="936" w:right="936"/>
    </w:pPr>
    <w:rPr>
      <w:b/>
      <w:bCs/>
      <w:i/>
      <w:iCs/>
      <w:color w:val="4F81BD" w:themeColor="accent1"/>
      <w14:textFill>
        <w14:solidFill>
          <w14:schemeClr w14:val="accent1"/>
        </w14:solidFill>
      </w14:textFill>
    </w:rPr>
  </w:style>
  <w:style w:type="character" w:customStyle="1" w:styleId="157">
    <w:name w:val="Intense Quote Char"/>
    <w:basedOn w:val="11"/>
    <w:link w:val="156"/>
    <w:uiPriority w:val="30"/>
    <w:rPr>
      <w:b/>
      <w:bCs/>
      <w:i/>
      <w:iCs/>
      <w:color w:val="4F81BD" w:themeColor="accent1"/>
      <w14:textFill>
        <w14:solidFill>
          <w14:schemeClr w14:val="accent1"/>
        </w14:solidFill>
      </w14:textFill>
    </w:rPr>
  </w:style>
  <w:style w:type="character" w:customStyle="1" w:styleId="158">
    <w:name w:val="Subtle Emphasis"/>
    <w:basedOn w:val="11"/>
    <w:qFormat/>
    <w:uiPriority w:val="19"/>
    <w:rPr>
      <w:i/>
      <w:iCs/>
      <w:color w:val="808080" w:themeColor="text1" w:themeTint="80"/>
      <w14:textFill>
        <w14:solidFill>
          <w14:schemeClr w14:val="tx1">
            <w14:lumMod w14:val="50000"/>
            <w14:lumOff w14:val="50000"/>
          </w14:schemeClr>
        </w14:solidFill>
      </w14:textFill>
    </w:rPr>
  </w:style>
  <w:style w:type="character" w:customStyle="1" w:styleId="159">
    <w:name w:val="Intense Emphasis"/>
    <w:basedOn w:val="11"/>
    <w:qFormat/>
    <w:uiPriority w:val="21"/>
    <w:rPr>
      <w:b/>
      <w:bCs/>
      <w:i/>
      <w:iCs/>
      <w:color w:val="4F81BD" w:themeColor="accent1"/>
      <w14:textFill>
        <w14:solidFill>
          <w14:schemeClr w14:val="accent1"/>
        </w14:solidFill>
      </w14:textFill>
    </w:rPr>
  </w:style>
  <w:style w:type="character" w:customStyle="1" w:styleId="160">
    <w:name w:val="Subtle Reference"/>
    <w:basedOn w:val="11"/>
    <w:qFormat/>
    <w:uiPriority w:val="31"/>
    <w:rPr>
      <w:smallCaps/>
      <w:color w:val="C0504D" w:themeColor="accent2"/>
      <w:u w:val="single"/>
      <w14:textFill>
        <w14:solidFill>
          <w14:schemeClr w14:val="accent2"/>
        </w14:solidFill>
      </w14:textFill>
    </w:rPr>
  </w:style>
  <w:style w:type="character" w:customStyle="1" w:styleId="161">
    <w:name w:val="Intense Reference"/>
    <w:basedOn w:val="11"/>
    <w:qFormat/>
    <w:uiPriority w:val="32"/>
    <w:rPr>
      <w:b/>
      <w:bCs/>
      <w:smallCaps/>
      <w:color w:val="C0504D" w:themeColor="accent2"/>
      <w:spacing w:val="5"/>
      <w:u w:val="single"/>
      <w14:textFill>
        <w14:solidFill>
          <w14:schemeClr w14:val="accent2"/>
        </w14:solidFill>
      </w14:textFill>
    </w:rPr>
  </w:style>
  <w:style w:type="character" w:customStyle="1" w:styleId="162">
    <w:name w:val="Book Title"/>
    <w:basedOn w:val="11"/>
    <w:qFormat/>
    <w:uiPriority w:val="33"/>
    <w:rPr>
      <w:b/>
      <w:bCs/>
      <w:smallCaps/>
      <w:spacing w:val="5"/>
    </w:rPr>
  </w:style>
  <w:style w:type="paragraph" w:customStyle="1" w:styleId="163">
    <w:name w:val="TOC Heading"/>
    <w:basedOn w:val="2"/>
    <w:next w:val="1"/>
    <w:semiHidden/>
    <w:unhideWhenUsed/>
    <w:qFormat/>
    <w:uiPriority w:val="39"/>
    <w:pPr>
      <w:outlineLvl w:val="9"/>
    </w:p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1.xml"/><Relationship Id="rId8" Type="http://schemas.openxmlformats.org/officeDocument/2006/relationships/numbering" Target="numbering.xml"/><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datastoreItem>
</file>

<file path=docProps/app.xml><?xml version="1.0" encoding="utf-8"?>
<Properties xmlns="http://schemas.openxmlformats.org/officeDocument/2006/extended-properties" xmlns:vt="http://schemas.openxmlformats.org/officeDocument/2006/docPropsVTypes">
  <Template>Normal.dotm</Template>
  <Pages>70</Pages>
  <Words>20160</Words>
  <Characters>135458</Characters>
  <Lines>0</Lines>
  <Paragraphs>0</Paragraphs>
  <TotalTime>5</TotalTime>
  <ScaleCrop>false</ScaleCrop>
  <LinksUpToDate>false</LinksUpToDate>
  <CharactersWithSpaces>153555</CharactersWithSpaces>
  <Application>WPS Office_12.1.0.28485_F1E327BC-269C-435d-A152-05C5408002CA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2013-12-23T23:15:00Z</dcterms:created>
  <dc:creator>python-docx</dc:creator>
  <dc:description>generated by python-docx</dc:description>
  <cp:lastModifiedBy>PUJA PALIT PAYEL</cp:lastModifiedBy>
  <dcterms:modified xsi:type="dcterms:W3CDTF">2026-09-14T08:57:50Z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eyJoZGlkIjoiYjJjOTQxYzhjODMyMDAzZmE0MDJkMWFkNmJlNDkwYTUiLCJ1c2VySWQiOiI4ODEzNzc4OTI1MzM1In0=</vt:lpwstr>
  </property>
  <property fmtid="{D5CDD505-2E9C-101B-9397-08002B2CF9AE}" pid="3" name="KSOProductBuildVer">
    <vt:lpwstr>1033-12.1.0.28485</vt:lpwstr>
  </property>
  <property fmtid="{D5CDD505-2E9C-101B-9397-08002B2CF9AE}" pid="4" name="ICV">
    <vt:lpwstr>996D6CEA399D4167BDB75651252C70BC_12</vt:lpwstr>
  </property>
</Properties>
</file>